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094FDB6">
      <w:pPr>
        <w:numPr>
          <w:ilvl w:val="0"/>
          <w:numId w:val="0"/>
        </w:numPr>
        <w:bidi w:val="0"/>
        <w:ind w:left="420" w:leftChars="0"/>
        <w:jc w:val="center"/>
        <w:rPr>
          <w:rFonts w:hint="eastAsia"/>
          <w:b/>
          <w:bCs/>
          <w:sz w:val="44"/>
          <w:szCs w:val="52"/>
          <w:lang w:val="en-US" w:eastAsia="zh-CN"/>
        </w:rPr>
      </w:pPr>
      <w:bookmarkStart w:id="9" w:name="_GoBack"/>
      <w:r>
        <w:rPr>
          <w:rFonts w:hint="eastAsia"/>
          <w:b/>
          <w:bCs/>
          <w:sz w:val="44"/>
          <w:szCs w:val="52"/>
          <w:lang w:val="en-US" w:eastAsia="zh-CN"/>
        </w:rPr>
        <w:t>北京市财政票据管理系统及非税票据管理系统</w:t>
      </w:r>
    </w:p>
    <w:p w14:paraId="667D4FEF">
      <w:pPr>
        <w:numPr>
          <w:ilvl w:val="0"/>
          <w:numId w:val="0"/>
        </w:numPr>
        <w:bidi w:val="0"/>
        <w:ind w:left="420" w:leftChars="0"/>
        <w:jc w:val="center"/>
        <w:rPr>
          <w:rFonts w:hint="default"/>
          <w:b/>
          <w:bCs/>
          <w:sz w:val="44"/>
          <w:szCs w:val="52"/>
          <w:lang w:val="en-US" w:eastAsia="zh-CN"/>
        </w:rPr>
      </w:pPr>
      <w:r>
        <w:rPr>
          <w:rFonts w:hint="eastAsia"/>
          <w:b/>
          <w:bCs/>
          <w:sz w:val="44"/>
          <w:szCs w:val="52"/>
          <w:lang w:val="en-US" w:eastAsia="zh-CN"/>
        </w:rPr>
        <w:t>指导手册</w:t>
      </w:r>
    </w:p>
    <w:bookmarkEnd w:id="9"/>
    <w:p w14:paraId="208E60EA">
      <w:pPr>
        <w:pStyle w:val="2"/>
        <w:bidi w:val="0"/>
        <w:ind w:left="0" w:leftChars="0" w:firstLine="420" w:firstLineChars="0"/>
        <w:jc w:val="both"/>
        <w:rPr>
          <w:rFonts w:hint="default"/>
          <w:lang w:val="en-US" w:eastAsia="zh-CN"/>
        </w:rPr>
      </w:pPr>
      <w:r>
        <w:rPr>
          <w:rFonts w:hint="eastAsia"/>
          <w:lang w:val="en-US" w:eastAsia="zh-CN"/>
        </w:rPr>
        <w:t>北京市财政票据管理系统</w:t>
      </w:r>
    </w:p>
    <w:p w14:paraId="5585B0F1">
      <w:pPr>
        <w:pStyle w:val="3"/>
        <w:bidi w:val="0"/>
        <w:ind w:left="630" w:leftChars="0" w:firstLineChars="0"/>
        <w:rPr>
          <w:rFonts w:hint="default"/>
          <w:sz w:val="24"/>
          <w:szCs w:val="32"/>
          <w:lang w:val="en-US" w:eastAsia="zh-CN"/>
        </w:rPr>
      </w:pPr>
      <w:r>
        <w:rPr>
          <w:rFonts w:hint="eastAsia"/>
          <w:lang w:val="en-US" w:eastAsia="zh-CN"/>
        </w:rPr>
        <w:t>地址：</w:t>
      </w:r>
      <w:r>
        <w:rPr>
          <w:rFonts w:hint="default"/>
          <w:sz w:val="24"/>
          <w:szCs w:val="32"/>
          <w:lang w:val="en-US" w:eastAsia="zh-CN"/>
        </w:rPr>
        <w:fldChar w:fldCharType="begin"/>
      </w:r>
      <w:r>
        <w:rPr>
          <w:rFonts w:hint="default"/>
          <w:sz w:val="24"/>
          <w:szCs w:val="32"/>
          <w:lang w:val="en-US" w:eastAsia="zh-CN"/>
        </w:rPr>
        <w:instrText xml:space="preserve"> HYPERLINK "http://fwxt.czj.beijing.gov.cn/agency-web/login.do" </w:instrText>
      </w:r>
      <w:r>
        <w:rPr>
          <w:rFonts w:hint="default"/>
          <w:sz w:val="24"/>
          <w:szCs w:val="32"/>
          <w:lang w:val="en-US" w:eastAsia="zh-CN"/>
        </w:rPr>
        <w:fldChar w:fldCharType="separate"/>
      </w:r>
      <w:r>
        <w:rPr>
          <w:rStyle w:val="16"/>
          <w:rFonts w:hint="default"/>
          <w:sz w:val="24"/>
          <w:szCs w:val="32"/>
          <w:lang w:val="en-US" w:eastAsia="zh-CN"/>
        </w:rPr>
        <w:t>http://fwxt.czj.beijing.gov.cn/agency-web/login.do</w:t>
      </w:r>
      <w:r>
        <w:rPr>
          <w:rFonts w:hint="default"/>
          <w:sz w:val="24"/>
          <w:szCs w:val="32"/>
          <w:lang w:val="en-US" w:eastAsia="zh-CN"/>
        </w:rPr>
        <w:fldChar w:fldCharType="end"/>
      </w:r>
    </w:p>
    <w:p w14:paraId="257F76D0">
      <w:pPr>
        <w:jc w:val="center"/>
      </w:pPr>
      <w:r>
        <w:drawing>
          <wp:inline distT="0" distB="0" distL="114300" distR="114300">
            <wp:extent cx="5271135" cy="2884805"/>
            <wp:effectExtent l="0" t="0" r="5715" b="1079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5271135" cy="2884805"/>
                    </a:xfrm>
                    <a:prstGeom prst="rect">
                      <a:avLst/>
                    </a:prstGeom>
                    <a:noFill/>
                    <a:ln>
                      <a:noFill/>
                    </a:ln>
                  </pic:spPr>
                </pic:pic>
              </a:graphicData>
            </a:graphic>
          </wp:inline>
        </w:drawing>
      </w:r>
    </w:p>
    <w:p w14:paraId="752C7B6F">
      <w:pPr>
        <w:pStyle w:val="3"/>
        <w:bidi w:val="0"/>
        <w:ind w:left="630" w:leftChars="0" w:firstLineChars="0"/>
      </w:pPr>
      <w:r>
        <w:rPr>
          <w:rFonts w:hint="eastAsia"/>
          <w:lang w:val="en-US" w:eastAsia="zh-CN"/>
        </w:rPr>
        <w:t>开具电子票</w:t>
      </w:r>
    </w:p>
    <w:p w14:paraId="560C82FF">
      <w:pPr>
        <w:jc w:val="center"/>
      </w:pPr>
      <w:r>
        <w:drawing>
          <wp:inline distT="0" distB="0" distL="114300" distR="114300">
            <wp:extent cx="5269230" cy="3704590"/>
            <wp:effectExtent l="0" t="0" r="7620" b="1016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5269230" cy="3704590"/>
                    </a:xfrm>
                    <a:prstGeom prst="rect">
                      <a:avLst/>
                    </a:prstGeom>
                    <a:noFill/>
                    <a:ln>
                      <a:noFill/>
                    </a:ln>
                  </pic:spPr>
                </pic:pic>
              </a:graphicData>
            </a:graphic>
          </wp:inline>
        </w:drawing>
      </w:r>
    </w:p>
    <w:p w14:paraId="1429C2CF"/>
    <w:p w14:paraId="18881247">
      <w:pPr>
        <w:jc w:val="center"/>
      </w:pPr>
      <w:r>
        <w:drawing>
          <wp:inline distT="0" distB="0" distL="114300" distR="114300">
            <wp:extent cx="5266055" cy="3622675"/>
            <wp:effectExtent l="0" t="0" r="10795" b="1587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5266055" cy="3622675"/>
                    </a:xfrm>
                    <a:prstGeom prst="rect">
                      <a:avLst/>
                    </a:prstGeom>
                    <a:noFill/>
                    <a:ln>
                      <a:noFill/>
                    </a:ln>
                  </pic:spPr>
                </pic:pic>
              </a:graphicData>
            </a:graphic>
          </wp:inline>
        </w:drawing>
      </w:r>
    </w:p>
    <w:p w14:paraId="2EBA4AA0">
      <w:pPr>
        <w:jc w:val="center"/>
      </w:pPr>
      <w:r>
        <w:drawing>
          <wp:inline distT="0" distB="0" distL="114300" distR="114300">
            <wp:extent cx="5269230" cy="3597275"/>
            <wp:effectExtent l="0" t="0" r="7620" b="317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5269230" cy="3597275"/>
                    </a:xfrm>
                    <a:prstGeom prst="rect">
                      <a:avLst/>
                    </a:prstGeom>
                    <a:noFill/>
                    <a:ln>
                      <a:noFill/>
                    </a:ln>
                  </pic:spPr>
                </pic:pic>
              </a:graphicData>
            </a:graphic>
          </wp:inline>
        </w:drawing>
      </w:r>
    </w:p>
    <w:p w14:paraId="10F7F3B5">
      <w:pPr>
        <w:pStyle w:val="3"/>
        <w:bidi w:val="0"/>
        <w:ind w:left="630" w:leftChars="0" w:firstLineChars="0"/>
      </w:pPr>
      <w:r>
        <w:t>北京市财政票据事项办理程序</w:t>
      </w:r>
    </w:p>
    <w:p w14:paraId="028EB81F">
      <w:pPr>
        <w:pStyle w:val="4"/>
        <w:bidi w:val="0"/>
      </w:pPr>
      <w:r>
        <w:t>首次办理财政纸质票据程序</w:t>
      </w:r>
    </w:p>
    <w:p w14:paraId="2D95F1F0">
      <w:pPr>
        <w:pStyle w:val="5"/>
        <w:bidi w:val="0"/>
      </w:pPr>
      <w:r>
        <w:t>办理财政纸质票据提交材料</w:t>
      </w:r>
    </w:p>
    <w:p w14:paraId="4B13AA46">
      <w:pPr>
        <w:pStyle w:val="13"/>
        <w:keepNext w:val="0"/>
        <w:keepLines w:val="0"/>
        <w:widowControl/>
        <w:suppressLineNumbers w:val="0"/>
        <w:ind w:left="0" w:firstLine="420"/>
      </w:pPr>
      <w:r>
        <w:rPr>
          <w:b/>
          <w:bCs/>
        </w:rPr>
        <w:t>票种①：</w:t>
      </w:r>
      <w:r>
        <w:t>《北京市行政事业单位资金往来结算票据（机打）》《北京市行政事业单位资金往来结算票据（手工）》</w:t>
      </w:r>
    </w:p>
    <w:p w14:paraId="4A4B31FB">
      <w:pPr>
        <w:pStyle w:val="13"/>
        <w:keepNext w:val="0"/>
        <w:keepLines w:val="0"/>
        <w:widowControl/>
        <w:numPr>
          <w:ilvl w:val="0"/>
          <w:numId w:val="2"/>
        </w:numPr>
        <w:suppressLineNumbers w:val="0"/>
        <w:ind w:left="1470" w:leftChars="0" w:hanging="420" w:firstLineChars="0"/>
      </w:pPr>
      <w:r>
        <w:t>单位《统一社会信用代码证书》复印件；</w:t>
      </w:r>
    </w:p>
    <w:p w14:paraId="3D7F2178">
      <w:pPr>
        <w:pStyle w:val="13"/>
        <w:keepNext w:val="0"/>
        <w:keepLines w:val="0"/>
        <w:widowControl/>
        <w:numPr>
          <w:ilvl w:val="0"/>
          <w:numId w:val="2"/>
        </w:numPr>
        <w:suppressLineNumbers w:val="0"/>
        <w:ind w:left="1470" w:leftChars="0" w:hanging="420" w:firstLineChars="0"/>
      </w:pPr>
      <w:r>
        <w:t>《银行准许开户许可证》复印件；</w:t>
      </w:r>
    </w:p>
    <w:p w14:paraId="167F1056">
      <w:pPr>
        <w:pStyle w:val="13"/>
        <w:keepNext w:val="0"/>
        <w:keepLines w:val="0"/>
        <w:widowControl/>
        <w:numPr>
          <w:ilvl w:val="0"/>
          <w:numId w:val="2"/>
        </w:numPr>
        <w:suppressLineNumbers w:val="0"/>
        <w:ind w:left="1470" w:leftChars="0" w:hanging="420" w:firstLineChars="0"/>
      </w:pPr>
      <w:r>
        <w:t>《北京市财政票据领用证申请表》。</w:t>
      </w:r>
    </w:p>
    <w:p w14:paraId="46F0CFDB">
      <w:pPr>
        <w:pStyle w:val="13"/>
        <w:keepNext w:val="0"/>
        <w:keepLines w:val="0"/>
        <w:widowControl/>
        <w:suppressLineNumbers w:val="0"/>
        <w:ind w:left="0" w:firstLine="420"/>
      </w:pPr>
      <w:r>
        <w:rPr>
          <w:b/>
          <w:bCs/>
        </w:rPr>
        <w:t>票种②：</w:t>
      </w:r>
      <w:r>
        <w:t>《北京市行政处罚当场收缴罚没款统一收据》《北京市行政处罚没收物品统一收据》</w:t>
      </w:r>
    </w:p>
    <w:p w14:paraId="00AEB53B">
      <w:pPr>
        <w:pStyle w:val="13"/>
        <w:keepNext w:val="0"/>
        <w:keepLines w:val="0"/>
        <w:widowControl/>
        <w:numPr>
          <w:ilvl w:val="0"/>
          <w:numId w:val="2"/>
        </w:numPr>
        <w:suppressLineNumbers w:val="0"/>
        <w:ind w:left="1470" w:leftChars="0" w:hanging="420" w:firstLineChars="0"/>
      </w:pPr>
      <w:r>
        <w:t>执罚文件依据复印件；</w:t>
      </w:r>
    </w:p>
    <w:p w14:paraId="5A0265FD">
      <w:pPr>
        <w:pStyle w:val="13"/>
        <w:keepNext w:val="0"/>
        <w:keepLines w:val="0"/>
        <w:widowControl/>
        <w:numPr>
          <w:ilvl w:val="0"/>
          <w:numId w:val="2"/>
        </w:numPr>
        <w:suppressLineNumbers w:val="0"/>
        <w:ind w:left="1470" w:leftChars="0" w:hanging="420" w:firstLineChars="0"/>
      </w:pPr>
      <w:r>
        <w:t>《实施行政处罚的细则》；</w:t>
      </w:r>
    </w:p>
    <w:p w14:paraId="66DF9D2E">
      <w:pPr>
        <w:pStyle w:val="13"/>
        <w:keepNext w:val="0"/>
        <w:keepLines w:val="0"/>
        <w:widowControl/>
        <w:numPr>
          <w:ilvl w:val="0"/>
          <w:numId w:val="2"/>
        </w:numPr>
        <w:suppressLineNumbers w:val="0"/>
        <w:ind w:left="1470" w:leftChars="0" w:hanging="420" w:firstLineChars="0"/>
      </w:pPr>
      <w:r>
        <w:t>单位《统一社会信用代码证书》复印件；</w:t>
      </w:r>
    </w:p>
    <w:p w14:paraId="4E33F49D">
      <w:pPr>
        <w:pStyle w:val="13"/>
        <w:keepNext w:val="0"/>
        <w:keepLines w:val="0"/>
        <w:widowControl/>
        <w:numPr>
          <w:ilvl w:val="0"/>
          <w:numId w:val="2"/>
        </w:numPr>
        <w:suppressLineNumbers w:val="0"/>
        <w:ind w:left="1470" w:leftChars="0" w:hanging="420" w:firstLineChars="0"/>
      </w:pPr>
      <w:r>
        <w:t>财政部门核发批准开设银行帐户的批复文件复印件；</w:t>
      </w:r>
    </w:p>
    <w:p w14:paraId="1BCEE027">
      <w:pPr>
        <w:pStyle w:val="13"/>
        <w:keepNext w:val="0"/>
        <w:keepLines w:val="0"/>
        <w:widowControl/>
        <w:numPr>
          <w:ilvl w:val="0"/>
          <w:numId w:val="2"/>
        </w:numPr>
        <w:suppressLineNumbers w:val="0"/>
        <w:ind w:left="1470" w:leftChars="0" w:hanging="420" w:firstLineChars="0"/>
      </w:pPr>
      <w:r>
        <w:t>《北京市财政票据领用证申请表》。</w:t>
      </w:r>
    </w:p>
    <w:p w14:paraId="4415ABF0">
      <w:pPr>
        <w:pStyle w:val="13"/>
        <w:keepNext w:val="0"/>
        <w:keepLines w:val="0"/>
        <w:widowControl/>
        <w:suppressLineNumbers w:val="0"/>
        <w:ind w:left="0" w:firstLine="420"/>
      </w:pPr>
      <w:r>
        <w:rPr>
          <w:b/>
          <w:bCs/>
        </w:rPr>
        <w:t>票据③：</w:t>
      </w:r>
      <w:r>
        <w:t>财政医疗票据</w:t>
      </w:r>
    </w:p>
    <w:p w14:paraId="151FB9DA">
      <w:pPr>
        <w:pStyle w:val="13"/>
        <w:keepNext w:val="0"/>
        <w:keepLines w:val="0"/>
        <w:widowControl/>
        <w:numPr>
          <w:ilvl w:val="0"/>
          <w:numId w:val="2"/>
        </w:numPr>
        <w:suppressLineNumbers w:val="0"/>
        <w:ind w:left="1470" w:leftChars="0" w:hanging="420" w:firstLineChars="0"/>
      </w:pPr>
      <w:r>
        <w:t>单位《统一社会信用代码证书》复印件；</w:t>
      </w:r>
    </w:p>
    <w:p w14:paraId="7C615059">
      <w:pPr>
        <w:pStyle w:val="13"/>
        <w:keepNext w:val="0"/>
        <w:keepLines w:val="0"/>
        <w:widowControl/>
        <w:numPr>
          <w:ilvl w:val="0"/>
          <w:numId w:val="2"/>
        </w:numPr>
        <w:suppressLineNumbers w:val="0"/>
        <w:ind w:left="1470" w:leftChars="0" w:hanging="420" w:firstLineChars="0"/>
      </w:pPr>
      <w:r>
        <w:t>卫生主管部门颁发的《医疗机构执业许可证（非营利性）》复印件；</w:t>
      </w:r>
    </w:p>
    <w:p w14:paraId="1F6E1914">
      <w:pPr>
        <w:pStyle w:val="13"/>
        <w:keepNext w:val="0"/>
        <w:keepLines w:val="0"/>
        <w:widowControl/>
        <w:numPr>
          <w:ilvl w:val="0"/>
          <w:numId w:val="2"/>
        </w:numPr>
        <w:suppressLineNumbers w:val="0"/>
        <w:ind w:left="1470" w:leftChars="0" w:hanging="420" w:firstLineChars="0"/>
      </w:pPr>
      <w:r>
        <w:t>《北京市财政票据领用证申请表》。</w:t>
      </w:r>
    </w:p>
    <w:p w14:paraId="751FE20F">
      <w:pPr>
        <w:pStyle w:val="13"/>
        <w:keepNext w:val="0"/>
        <w:keepLines w:val="0"/>
        <w:widowControl/>
        <w:suppressLineNumbers w:val="0"/>
        <w:ind w:left="0" w:firstLine="420"/>
      </w:pPr>
      <w:r>
        <w:rPr>
          <w:b/>
          <w:bCs/>
        </w:rPr>
        <w:t>票种④：</w:t>
      </w:r>
      <w:r>
        <w:t>《北京市行政事业性统一收费票据》</w:t>
      </w:r>
    </w:p>
    <w:p w14:paraId="45670928">
      <w:pPr>
        <w:pStyle w:val="13"/>
        <w:keepNext w:val="0"/>
        <w:keepLines w:val="0"/>
        <w:widowControl/>
        <w:numPr>
          <w:ilvl w:val="0"/>
          <w:numId w:val="2"/>
        </w:numPr>
        <w:suppressLineNumbers w:val="0"/>
        <w:ind w:left="1470" w:leftChars="0" w:hanging="420" w:firstLineChars="0"/>
      </w:pPr>
      <w:r>
        <w:t>国务院或省级以上财政部门会同价格管理部门批准收取行政事业性收费的文件复印件；</w:t>
      </w:r>
    </w:p>
    <w:p w14:paraId="761BC17D">
      <w:pPr>
        <w:pStyle w:val="13"/>
        <w:keepNext w:val="0"/>
        <w:keepLines w:val="0"/>
        <w:widowControl/>
        <w:numPr>
          <w:ilvl w:val="0"/>
          <w:numId w:val="2"/>
        </w:numPr>
        <w:suppressLineNumbers w:val="0"/>
        <w:ind w:left="1470" w:leftChars="0" w:hanging="420" w:firstLineChars="0"/>
      </w:pPr>
      <w:r>
        <w:t>国务院或财政部批准设立政府性基金的文件复印件；</w:t>
      </w:r>
    </w:p>
    <w:p w14:paraId="2BC32180">
      <w:pPr>
        <w:pStyle w:val="13"/>
        <w:keepNext w:val="0"/>
        <w:keepLines w:val="0"/>
        <w:widowControl/>
        <w:numPr>
          <w:ilvl w:val="0"/>
          <w:numId w:val="2"/>
        </w:numPr>
        <w:suppressLineNumbers w:val="0"/>
        <w:ind w:left="1470" w:leftChars="0" w:hanging="420" w:firstLineChars="0"/>
      </w:pPr>
      <w:r>
        <w:t>单位《统一社会信用代码证书》复印件；</w:t>
      </w:r>
    </w:p>
    <w:p w14:paraId="4E37A5CE">
      <w:pPr>
        <w:pStyle w:val="13"/>
        <w:keepNext w:val="0"/>
        <w:keepLines w:val="0"/>
        <w:widowControl/>
        <w:numPr>
          <w:ilvl w:val="0"/>
          <w:numId w:val="2"/>
        </w:numPr>
        <w:suppressLineNumbers w:val="0"/>
        <w:ind w:left="1470" w:leftChars="0" w:hanging="420" w:firstLineChars="0"/>
      </w:pPr>
      <w:r>
        <w:t>财政部门核发批准开设银行帐户的批复文件复印件；</w:t>
      </w:r>
    </w:p>
    <w:p w14:paraId="34706093">
      <w:pPr>
        <w:pStyle w:val="13"/>
        <w:keepNext w:val="0"/>
        <w:keepLines w:val="0"/>
        <w:widowControl/>
        <w:numPr>
          <w:ilvl w:val="0"/>
          <w:numId w:val="2"/>
        </w:numPr>
        <w:suppressLineNumbers w:val="0"/>
        <w:ind w:left="1470" w:leftChars="0" w:hanging="420" w:firstLineChars="0"/>
      </w:pPr>
      <w:r>
        <w:t>《北京市财政票据领用证申请表》。</w:t>
      </w:r>
    </w:p>
    <w:p w14:paraId="64CDA812">
      <w:pPr>
        <w:pStyle w:val="13"/>
        <w:keepNext w:val="0"/>
        <w:keepLines w:val="0"/>
        <w:widowControl/>
        <w:suppressLineNumbers w:val="0"/>
        <w:ind w:left="0" w:firstLine="420"/>
      </w:pPr>
      <w:r>
        <w:rPr>
          <w:b/>
          <w:bCs/>
        </w:rPr>
        <w:t>票种⑤：</w:t>
      </w:r>
      <w:r>
        <w:t>《北京市非税收入统一票据（机打）》《北京市非税收入专用收据（手工）》《北京市非税收入一般缴款书》</w:t>
      </w:r>
    </w:p>
    <w:p w14:paraId="46406F05">
      <w:pPr>
        <w:pStyle w:val="13"/>
        <w:keepNext w:val="0"/>
        <w:keepLines w:val="0"/>
        <w:widowControl/>
        <w:numPr>
          <w:ilvl w:val="0"/>
          <w:numId w:val="2"/>
        </w:numPr>
        <w:suppressLineNumbers w:val="0"/>
        <w:ind w:left="1470" w:leftChars="0" w:hanging="420" w:firstLineChars="0"/>
      </w:pPr>
      <w:r>
        <w:t>《北京市财政局确认纳入市级非税收入收缴系统管理的通知》，或财政部门确认纳入非税收入收缴系统的证明材料复印件；</w:t>
      </w:r>
    </w:p>
    <w:p w14:paraId="4ED588E1">
      <w:pPr>
        <w:pStyle w:val="13"/>
        <w:keepNext w:val="0"/>
        <w:keepLines w:val="0"/>
        <w:widowControl/>
        <w:numPr>
          <w:ilvl w:val="0"/>
          <w:numId w:val="2"/>
        </w:numPr>
        <w:suppressLineNumbers w:val="0"/>
        <w:ind w:left="1470" w:leftChars="0" w:hanging="420" w:firstLineChars="0"/>
      </w:pPr>
      <w:r>
        <w:t>单位《统一社会信用代码证书》复印件；</w:t>
      </w:r>
    </w:p>
    <w:p w14:paraId="1D516CA9">
      <w:pPr>
        <w:pStyle w:val="13"/>
        <w:keepNext w:val="0"/>
        <w:keepLines w:val="0"/>
        <w:widowControl/>
        <w:numPr>
          <w:ilvl w:val="0"/>
          <w:numId w:val="2"/>
        </w:numPr>
        <w:suppressLineNumbers w:val="0"/>
        <w:ind w:left="1470" w:leftChars="0" w:hanging="420" w:firstLineChars="0"/>
      </w:pPr>
      <w:r>
        <w:t>《银行准许开户许可证》复印件；</w:t>
      </w:r>
    </w:p>
    <w:p w14:paraId="3A49482E">
      <w:pPr>
        <w:pStyle w:val="13"/>
        <w:keepNext w:val="0"/>
        <w:keepLines w:val="0"/>
        <w:widowControl/>
        <w:numPr>
          <w:ilvl w:val="0"/>
          <w:numId w:val="2"/>
        </w:numPr>
        <w:suppressLineNumbers w:val="0"/>
        <w:ind w:left="1470" w:leftChars="0" w:hanging="420" w:firstLineChars="0"/>
      </w:pPr>
      <w:r>
        <w:t>《北京市财政票据领用证申请表》。</w:t>
      </w:r>
    </w:p>
    <w:p w14:paraId="2F05E8CD">
      <w:pPr>
        <w:pStyle w:val="13"/>
        <w:keepNext w:val="0"/>
        <w:keepLines w:val="0"/>
        <w:widowControl/>
        <w:suppressLineNumbers w:val="0"/>
        <w:ind w:left="0" w:firstLine="420"/>
      </w:pPr>
      <w:r>
        <w:rPr>
          <w:b/>
          <w:bCs/>
        </w:rPr>
        <w:t>票据⑥：</w:t>
      </w:r>
      <w:r>
        <w:t>《北京市教育系统行政事业性垫付资金结算专用收据（机打）》《北京市教育系统行政事业性垫付资金结算专用收据（手工）》</w:t>
      </w:r>
    </w:p>
    <w:p w14:paraId="5C9CD656">
      <w:pPr>
        <w:pStyle w:val="13"/>
        <w:keepNext w:val="0"/>
        <w:keepLines w:val="0"/>
        <w:widowControl/>
        <w:numPr>
          <w:ilvl w:val="0"/>
          <w:numId w:val="2"/>
        </w:numPr>
        <w:suppressLineNumbers w:val="0"/>
        <w:ind w:left="1470" w:leftChars="0" w:hanging="420" w:firstLineChars="0"/>
      </w:pPr>
      <w:r>
        <w:t>单位《统一社会信用代码证书》复印件；</w:t>
      </w:r>
    </w:p>
    <w:p w14:paraId="0C033C39">
      <w:pPr>
        <w:pStyle w:val="13"/>
        <w:keepNext w:val="0"/>
        <w:keepLines w:val="0"/>
        <w:widowControl/>
        <w:numPr>
          <w:ilvl w:val="0"/>
          <w:numId w:val="2"/>
        </w:numPr>
        <w:suppressLineNumbers w:val="0"/>
        <w:ind w:left="1470" w:leftChars="0" w:hanging="420" w:firstLineChars="0"/>
      </w:pPr>
      <w:r>
        <w:t>《银行准许开户许可证》复印件；</w:t>
      </w:r>
    </w:p>
    <w:p w14:paraId="7AE0898E">
      <w:pPr>
        <w:pStyle w:val="13"/>
        <w:keepNext w:val="0"/>
        <w:keepLines w:val="0"/>
        <w:widowControl/>
        <w:numPr>
          <w:ilvl w:val="0"/>
          <w:numId w:val="2"/>
        </w:numPr>
        <w:suppressLineNumbers w:val="0"/>
        <w:ind w:left="1470" w:leftChars="0" w:hanging="420" w:firstLineChars="0"/>
      </w:pPr>
      <w:r>
        <w:t>《北京市财政票据领用证申请表》。</w:t>
      </w:r>
    </w:p>
    <w:p w14:paraId="51329E16">
      <w:pPr>
        <w:pStyle w:val="5"/>
        <w:bidi w:val="0"/>
      </w:pPr>
      <w:r>
        <w:t>财政纸质票据使用</w:t>
      </w:r>
    </w:p>
    <w:p w14:paraId="1548422C">
      <w:pPr>
        <w:pStyle w:val="13"/>
        <w:keepNext w:val="0"/>
        <w:keepLines w:val="0"/>
        <w:widowControl/>
        <w:suppressLineNumbers w:val="0"/>
        <w:ind w:left="0" w:firstLine="420"/>
      </w:pPr>
      <w:r>
        <w:t xml:space="preserve">选择使用北京市财政票据管理系统在线开具机打票据的用票单位，可登陆北京市财政票据管理系统，从系统通知公告中获取《在线开具财政票据操作手册及常见问题解答》，按照《操作手册》在系统中完成单位信息初始化、财政票据入库、票据下发、票据开具等事项。 </w:t>
      </w:r>
    </w:p>
    <w:p w14:paraId="6A7BC03A">
      <w:pPr>
        <w:pStyle w:val="5"/>
        <w:bidi w:val="0"/>
      </w:pPr>
      <w:r>
        <w:t>再次领用财政纸质票据的程序</w:t>
      </w:r>
    </w:p>
    <w:p w14:paraId="4B9860B9">
      <w:pPr>
        <w:numPr>
          <w:ilvl w:val="0"/>
          <w:numId w:val="3"/>
        </w:numPr>
        <w:bidi w:val="0"/>
        <w:ind w:left="420" w:leftChars="0" w:hanging="420" w:firstLineChars="0"/>
        <w:rPr>
          <w:b/>
          <w:bCs/>
          <w:sz w:val="22"/>
          <w:szCs w:val="28"/>
        </w:rPr>
      </w:pPr>
      <w:r>
        <w:rPr>
          <w:b/>
          <w:bCs/>
          <w:sz w:val="22"/>
          <w:szCs w:val="28"/>
        </w:rPr>
        <w:t>财政手工票据审验及领用</w:t>
      </w:r>
    </w:p>
    <w:p w14:paraId="35FECABC">
      <w:pPr>
        <w:pStyle w:val="13"/>
        <w:keepNext w:val="0"/>
        <w:keepLines w:val="0"/>
        <w:widowControl/>
        <w:suppressLineNumbers w:val="0"/>
        <w:ind w:left="0" w:firstLine="420"/>
      </w:pPr>
      <w:r>
        <w:t xml:space="preserve">采取“验旧领新”的办理方式。用票单位再次领用票据时，需携带单位《财政票据领用证》、上次领用的相关整本手工票据和联次齐全的作废票据，到同级财政部门对外办公地点，办理票据审验及领用手续。 </w:t>
      </w:r>
    </w:p>
    <w:p w14:paraId="192C6151">
      <w:pPr>
        <w:numPr>
          <w:ilvl w:val="0"/>
          <w:numId w:val="3"/>
        </w:numPr>
        <w:bidi w:val="0"/>
        <w:ind w:left="420" w:leftChars="0" w:hanging="420" w:firstLineChars="0"/>
        <w:rPr>
          <w:b/>
          <w:bCs/>
          <w:sz w:val="22"/>
          <w:szCs w:val="28"/>
        </w:rPr>
      </w:pPr>
      <w:r>
        <w:rPr>
          <w:b/>
          <w:bCs/>
          <w:sz w:val="22"/>
          <w:szCs w:val="28"/>
        </w:rPr>
        <w:t>财政机打票据审验及领用</w:t>
      </w:r>
    </w:p>
    <w:p w14:paraId="40ACCDED">
      <w:pPr>
        <w:pStyle w:val="13"/>
        <w:keepNext w:val="0"/>
        <w:keepLines w:val="0"/>
        <w:widowControl/>
        <w:suppressLineNumbers w:val="0"/>
        <w:ind w:left="0" w:firstLine="420"/>
      </w:pPr>
      <w:r>
        <w:t>1.用票单位再次申领财政机打票据，需在北京市财政票据管理系统提交“票据审验单”。携带《财政票据领用证》、已使用的作废票（联次齐全）或未使用的库存作废票据（联次齐全）到同级财政部门线下办理审验及领用手续。</w:t>
      </w:r>
    </w:p>
    <w:p w14:paraId="51742931">
      <w:pPr>
        <w:pStyle w:val="13"/>
        <w:keepNext w:val="0"/>
        <w:keepLines w:val="0"/>
        <w:widowControl/>
        <w:suppressLineNumbers w:val="0"/>
        <w:ind w:left="0" w:firstLine="420"/>
      </w:pPr>
      <w:r>
        <w:t xml:space="preserve">2.用票单位票据审验周期到期，票据系统提示需上报数据，但无需再次领票时。用票单位需在票据系统提交“票据审验单”，备注说明“审验周期到期，无需申领票据”的情况。有已使用的作废票或未使用的库存作废票据，可以选择线上办理审验，按照要求提交以下资料：将已使用的作废票据（联次齐全）或未使用的库存作废票据（剪角后），以图片形式（png、jpg）、PDF形式或压缩包格式（zip）通过"上传附件"功能上传，再将单据上报。同级财政部门审核通过后，用票单位可继续开票。审核不通过，需按照同级财政部门反馈意见进行整改，重新上报。 </w:t>
      </w:r>
    </w:p>
    <w:p w14:paraId="6521AF43">
      <w:pPr>
        <w:pStyle w:val="3"/>
        <w:bidi w:val="0"/>
      </w:pPr>
      <w:r>
        <w:t>关于用票单位的撤销、改组、合并；变更执收或执罚主体；收费、罚没项目取消、调整等需变更或废止《财政票据领用证》及票据的核准事项</w:t>
      </w:r>
    </w:p>
    <w:p w14:paraId="400B69AA">
      <w:pPr>
        <w:pStyle w:val="13"/>
        <w:keepNext w:val="0"/>
        <w:keepLines w:val="0"/>
        <w:widowControl/>
        <w:suppressLineNumbers w:val="0"/>
        <w:ind w:left="0" w:firstLine="420"/>
      </w:pPr>
      <w:r>
        <w:t xml:space="preserve">1.办理单位所需提交的材料：用票单位撤销、改组、合并；变更执收或执罚主体；收费、罚没项目取消、调整等需变更或废止《财政票据领用证》及票据的申请材料，同时提交相关批准文件、《财政票据领用证》和相关票据(包括已使用但未审验的票据和未使用的空白票据)。 </w:t>
      </w:r>
    </w:p>
    <w:p w14:paraId="55004BA2">
      <w:pPr>
        <w:pStyle w:val="13"/>
        <w:keepNext w:val="0"/>
        <w:keepLines w:val="0"/>
        <w:widowControl/>
        <w:suppressLineNumbers w:val="0"/>
        <w:ind w:left="0" w:firstLine="420"/>
      </w:pPr>
      <w:r>
        <w:t>2.持上述材料到同级财政部门办理单位变更、使用票据审验、未使用票据缴销（填写《北京市财政票据缴销申请表》）等手续。</w:t>
      </w:r>
    </w:p>
    <w:p w14:paraId="64E42E9D">
      <w:pPr>
        <w:pStyle w:val="3"/>
        <w:bidi w:val="0"/>
      </w:pPr>
      <w:bookmarkStart w:id="0" w:name="title4"/>
      <w:r>
        <w:t>关于财政票据的核销事项</w:t>
      </w:r>
    </w:p>
    <w:bookmarkEnd w:id="0"/>
    <w:p w14:paraId="3EE13371">
      <w:pPr>
        <w:pStyle w:val="13"/>
        <w:keepNext w:val="0"/>
        <w:keepLines w:val="0"/>
        <w:widowControl/>
        <w:suppressLineNumbers w:val="0"/>
        <w:ind w:left="0" w:firstLine="420"/>
      </w:pPr>
      <w:r>
        <w:t>1.关于使用过且保存期满5年的核销事项</w:t>
      </w:r>
    </w:p>
    <w:p w14:paraId="4B61A085">
      <w:pPr>
        <w:pStyle w:val="13"/>
        <w:keepNext w:val="0"/>
        <w:keepLines w:val="0"/>
        <w:widowControl/>
        <w:suppressLineNumbers w:val="0"/>
        <w:ind w:left="0" w:firstLine="420"/>
      </w:pPr>
      <w:r>
        <w:t>用票单位应提交有关票据核销申请，对使用过且保存期满5年的申请核销票据，负责登记造册（注明核销票据种类、数量及对应的票据编号等），填写《北京市财政票据核销申请表》。提交相关核销票据及《财政票据领用证》。 持上述材料到同级财政部门办理核销手续。</w:t>
      </w:r>
    </w:p>
    <w:p w14:paraId="4C879AE3">
      <w:pPr>
        <w:pStyle w:val="13"/>
        <w:keepNext w:val="0"/>
        <w:keepLines w:val="0"/>
        <w:widowControl/>
        <w:suppressLineNumbers w:val="0"/>
        <w:ind w:left="0" w:firstLine="420"/>
      </w:pPr>
      <w:r>
        <w:t>2.关于财政票据申请缩短保存期限的核销事项</w:t>
      </w:r>
    </w:p>
    <w:p w14:paraId="11A4122C">
      <w:pPr>
        <w:pStyle w:val="13"/>
        <w:keepNext w:val="0"/>
        <w:keepLines w:val="0"/>
        <w:widowControl/>
        <w:suppressLineNumbers w:val="0"/>
        <w:ind w:left="0" w:firstLine="420"/>
      </w:pPr>
      <w:r>
        <w:t>用票单位应提交有关财政票据缩短保存期限核销的书面申请、核销票据的数量、票据种类、票号及领用和使用情况材料，并填写《北京市财政票据核销申请表》。提交相关核销票据及《财政票据领用证》。 持上述材料到同级财政部门办理核销手续。</w:t>
      </w:r>
    </w:p>
    <w:p w14:paraId="2D85006F">
      <w:pPr>
        <w:pStyle w:val="3"/>
        <w:bidi w:val="0"/>
      </w:pPr>
      <w:r>
        <w:t>用票单位《财政票据领用证》或票据丢失补办</w:t>
      </w:r>
    </w:p>
    <w:p w14:paraId="56FB8764">
      <w:pPr>
        <w:pStyle w:val="13"/>
        <w:keepNext w:val="0"/>
        <w:keepLines w:val="0"/>
        <w:widowControl/>
        <w:suppressLineNumbers w:val="0"/>
        <w:ind w:left="0" w:firstLine="420"/>
      </w:pPr>
      <w:r>
        <w:t>1.用票单位如发生《财政票据领用证》或票据丢失，应及时向同级财政部门告知，并说明丢失原因。</w:t>
      </w:r>
    </w:p>
    <w:p w14:paraId="4CA653F1">
      <w:pPr>
        <w:pStyle w:val="13"/>
        <w:keepNext w:val="0"/>
        <w:keepLines w:val="0"/>
        <w:widowControl/>
        <w:suppressLineNumbers w:val="0"/>
        <w:ind w:left="0" w:firstLine="420"/>
      </w:pPr>
      <w:r>
        <w:t>2.办理程序：用票单位持相关材料向同级财政部门提出补办申请，核准后，到本市报社办理丢失《财政票据领用证》或票据的声明作废，作废声明见报后，持正式发行的报纸到同级财政部门办理《财政票据领用证》或票据的补办事宜。</w:t>
      </w:r>
    </w:p>
    <w:p w14:paraId="42437209">
      <w:pPr>
        <w:pStyle w:val="13"/>
        <w:keepNext w:val="0"/>
        <w:keepLines w:val="0"/>
        <w:widowControl/>
        <w:suppressLineNumbers w:val="0"/>
        <w:ind w:left="0" w:firstLine="420"/>
      </w:pPr>
      <w:r>
        <w:t>3.办理单位所需提交的材料：书面申请（包括丢失情况和丢失《财政票据领用证》或票据的种类、数量、编号等内容和丢失《财政票据领用证》或票据的使用情况）；登报声明。</w:t>
      </w:r>
    </w:p>
    <w:p w14:paraId="21BAB4E9">
      <w:pPr>
        <w:pStyle w:val="3"/>
        <w:bidi w:val="0"/>
      </w:pPr>
      <w:r>
        <w:t>用票单位信息变更</w:t>
      </w:r>
    </w:p>
    <w:p w14:paraId="08190AD3">
      <w:pPr>
        <w:pStyle w:val="13"/>
        <w:keepNext w:val="0"/>
        <w:keepLines w:val="0"/>
        <w:widowControl/>
        <w:suppressLineNumbers w:val="0"/>
        <w:ind w:left="0" w:firstLine="420"/>
      </w:pPr>
      <w:r>
        <w:t>用票单位信息变更均需填写《用票单位信息变更申请表》。变更用票单位信息，可通过访问“北京市财政局官网—财政票据服务—一网通办”全程网上办理或向同级财政部门提交材料线下办理。</w:t>
      </w:r>
    </w:p>
    <w:p w14:paraId="2832A75D">
      <w:pPr>
        <w:pStyle w:val="13"/>
        <w:keepNext w:val="0"/>
        <w:keepLines w:val="0"/>
        <w:widowControl/>
        <w:suppressLineNumbers w:val="0"/>
        <w:ind w:left="0" w:firstLine="420"/>
      </w:pPr>
      <w:r>
        <w:t>1.变更单位名称还需提供编办或民政部门批复文件的复印件；</w:t>
      </w:r>
    </w:p>
    <w:p w14:paraId="0C1E3337">
      <w:pPr>
        <w:pStyle w:val="13"/>
        <w:keepNext w:val="0"/>
        <w:keepLines w:val="0"/>
        <w:widowControl/>
        <w:suppressLineNumbers w:val="0"/>
        <w:ind w:left="0" w:firstLine="420"/>
      </w:pPr>
      <w:r>
        <w:t>2.变更法定代表人还需提供业务主管部门任命证明文件或民政部门批复的行政许可决定书复印件；</w:t>
      </w:r>
    </w:p>
    <w:p w14:paraId="23196679">
      <w:pPr>
        <w:pStyle w:val="13"/>
        <w:keepNext w:val="0"/>
        <w:keepLines w:val="0"/>
        <w:widowControl/>
        <w:suppressLineNumbers w:val="0"/>
        <w:ind w:left="0" w:firstLine="420"/>
      </w:pPr>
      <w:r>
        <w:t>3.单位项目或标准变更提供相关部门批复材料。</w:t>
      </w:r>
    </w:p>
    <w:p w14:paraId="2BC753D3">
      <w:pPr>
        <w:keepNext w:val="0"/>
        <w:keepLines w:val="0"/>
        <w:widowControl/>
        <w:suppressLineNumbers w:val="0"/>
        <w:jc w:val="left"/>
      </w:pPr>
      <w:r>
        <w:rPr>
          <w:rFonts w:ascii="宋体" w:hAnsi="宋体" w:eastAsia="宋体" w:cs="宋体"/>
          <w:kern w:val="0"/>
          <w:sz w:val="24"/>
          <w:szCs w:val="24"/>
          <w:lang w:val="en-US" w:eastAsia="zh-CN" w:bidi="ar"/>
        </w:rPr>
        <w:t> </w:t>
      </w:r>
      <w:r>
        <w:rPr>
          <w:color w:val="FF0000"/>
        </w:rPr>
        <w:t>提醒：各用票单位按照上述流程到同级财政部门办理相关业务，提交同级财政部门的所有材料均需加盖公章。</w:t>
      </w:r>
    </w:p>
    <w:p w14:paraId="68A48430">
      <w:pPr>
        <w:pStyle w:val="13"/>
        <w:keepNext w:val="0"/>
        <w:keepLines w:val="0"/>
        <w:widowControl/>
        <w:suppressLineNumbers w:val="0"/>
        <w:ind w:left="0" w:firstLine="420"/>
      </w:pPr>
      <w:r>
        <w:rPr>
          <w:b/>
          <w:bCs/>
        </w:rPr>
        <w:t>北京市财政局</w:t>
      </w:r>
    </w:p>
    <w:p w14:paraId="4C043615">
      <w:pPr>
        <w:pStyle w:val="13"/>
        <w:keepNext w:val="0"/>
        <w:keepLines w:val="0"/>
        <w:widowControl/>
        <w:suppressLineNumbers w:val="0"/>
        <w:ind w:left="0" w:firstLine="420"/>
      </w:pPr>
      <w:r>
        <w:t>受理时间：周一至周四 上午 9:00-11:30     下午 14:00-17:00</w:t>
      </w:r>
    </w:p>
    <w:p w14:paraId="3EC64F78">
      <w:pPr>
        <w:pStyle w:val="13"/>
        <w:keepNext w:val="0"/>
        <w:keepLines w:val="0"/>
        <w:widowControl/>
        <w:suppressLineNumbers w:val="0"/>
        <w:ind w:left="0" w:firstLine="420"/>
      </w:pPr>
      <w:r>
        <w:t>办理地点：北京市西城区西直门内大街玉芙胡同11号北京市财政教育培训中心1层106室</w:t>
      </w:r>
    </w:p>
    <w:p w14:paraId="70C86937">
      <w:pPr>
        <w:pStyle w:val="13"/>
        <w:keepNext w:val="0"/>
        <w:keepLines w:val="0"/>
        <w:widowControl/>
        <w:suppressLineNumbers w:val="0"/>
        <w:ind w:left="0" w:firstLine="420"/>
      </w:pPr>
      <w:r>
        <w:t>联系电话：010-68455916</w:t>
      </w:r>
    </w:p>
    <w:p w14:paraId="09F304E3">
      <w:pPr>
        <w:keepNext w:val="0"/>
        <w:keepLines w:val="0"/>
        <w:widowControl/>
        <w:suppressLineNumbers w:val="0"/>
        <w:jc w:val="left"/>
      </w:pPr>
    </w:p>
    <w:p w14:paraId="4953D7CB">
      <w:pPr>
        <w:pStyle w:val="13"/>
        <w:keepNext w:val="0"/>
        <w:keepLines w:val="0"/>
        <w:widowControl/>
        <w:suppressLineNumbers w:val="0"/>
        <w:ind w:left="0" w:firstLine="420"/>
      </w:pPr>
      <w:r>
        <w:rPr>
          <w:b/>
          <w:bCs/>
        </w:rPr>
        <w:t>各区财政局</w:t>
      </w:r>
    </w:p>
    <w:p w14:paraId="18F27E1C">
      <w:pPr>
        <w:pStyle w:val="13"/>
        <w:keepNext w:val="0"/>
        <w:keepLines w:val="0"/>
        <w:widowControl/>
        <w:suppressLineNumbers w:val="0"/>
        <w:ind w:left="0" w:firstLine="420"/>
        <w:rPr>
          <w:rFonts w:hint="eastAsia"/>
          <w:lang w:val="en-US" w:eastAsia="zh-CN"/>
        </w:rPr>
      </w:pPr>
      <w:r>
        <w:t>办理地点及联系方式：详见“北京市财政局官网—财政票据服务—网上公示—区财政票据管理机构”。</w:t>
      </w:r>
    </w:p>
    <w:p w14:paraId="0E992D35">
      <w:pPr>
        <w:rPr>
          <w:rFonts w:hint="eastAsia"/>
          <w:lang w:val="en-US" w:eastAsia="zh-CN"/>
        </w:rPr>
      </w:pPr>
    </w:p>
    <w:p w14:paraId="5C56D4E7">
      <w:pPr>
        <w:pStyle w:val="13"/>
        <w:keepNext w:val="0"/>
        <w:keepLines w:val="0"/>
        <w:widowControl/>
        <w:suppressLineNumbers w:val="0"/>
        <w:jc w:val="center"/>
        <w:rPr>
          <w:rFonts w:ascii="宋体" w:hAnsi="宋体" w:eastAsia="宋体" w:cs="宋体"/>
          <w:kern w:val="0"/>
          <w:sz w:val="24"/>
          <w:szCs w:val="24"/>
          <w:lang w:val="en-US" w:eastAsia="zh-CN" w:bidi="ar"/>
        </w:rPr>
      </w:pPr>
      <w:r>
        <w:rPr>
          <w:rFonts w:ascii="宋体" w:hAnsi="宋体" w:eastAsia="宋体" w:cs="宋体"/>
          <w:kern w:val="0"/>
          <w:sz w:val="24"/>
          <w:szCs w:val="24"/>
          <w:lang w:val="en-US" w:eastAsia="zh-CN" w:bidi="ar"/>
        </w:rPr>
        <w:br w:type="textWrapping"/>
      </w:r>
      <w:r>
        <w:rPr>
          <w:rFonts w:ascii="宋体" w:hAnsi="宋体" w:eastAsia="宋体" w:cs="宋体"/>
          <w:kern w:val="0"/>
          <w:sz w:val="24"/>
          <w:szCs w:val="24"/>
          <w:lang w:val="en-US" w:eastAsia="zh-CN" w:bidi="ar"/>
        </w:rPr>
        <w:br w:type="textWrapping"/>
      </w:r>
      <w:r>
        <w:rPr>
          <w:rFonts w:ascii="宋体" w:hAnsi="宋体" w:eastAsia="宋体" w:cs="宋体"/>
          <w:kern w:val="0"/>
          <w:sz w:val="24"/>
          <w:szCs w:val="24"/>
          <w:lang w:val="en-US" w:eastAsia="zh-CN" w:bidi="ar"/>
        </w:rPr>
        <w:br w:type="textWrapping"/>
      </w:r>
    </w:p>
    <w:p w14:paraId="65951FD4">
      <w:pPr>
        <w:pStyle w:val="13"/>
        <w:keepNext w:val="0"/>
        <w:keepLines w:val="0"/>
        <w:widowControl/>
        <w:suppressLineNumbers w:val="0"/>
        <w:jc w:val="center"/>
      </w:pPr>
    </w:p>
    <w:p w14:paraId="5AC49A94">
      <w:pPr>
        <w:bidi w:val="0"/>
        <w:jc w:val="center"/>
      </w:pPr>
    </w:p>
    <w:p w14:paraId="7CEC2251">
      <w:pPr>
        <w:pStyle w:val="2"/>
        <w:bidi w:val="0"/>
        <w:rPr>
          <w:rFonts w:hint="eastAsia"/>
          <w:lang w:val="en-US" w:eastAsia="zh-CN"/>
        </w:rPr>
      </w:pPr>
      <w:r>
        <w:rPr>
          <w:rFonts w:hint="eastAsia"/>
          <w:lang w:val="en-US" w:eastAsia="zh-CN"/>
        </w:rPr>
        <w:t>北京市非税收入征缴征收管理系统</w:t>
      </w:r>
    </w:p>
    <w:p w14:paraId="3603C37F">
      <w:pPr>
        <w:ind w:firstLine="640" w:firstLineChars="200"/>
        <w:rPr>
          <w:rFonts w:ascii="仿宋" w:hAnsi="仿宋" w:eastAsia="仿宋" w:cs="仿宋"/>
          <w:sz w:val="32"/>
          <w:szCs w:val="32"/>
        </w:rPr>
      </w:pPr>
    </w:p>
    <w:sdt>
      <w:sdtPr>
        <w:rPr>
          <w:rFonts w:hint="eastAsia" w:ascii="仿宋" w:hAnsi="仿宋" w:eastAsia="仿宋" w:cs="仿宋"/>
          <w:color w:val="auto"/>
          <w:kern w:val="2"/>
          <w:sz w:val="44"/>
          <w:szCs w:val="44"/>
          <w:lang w:val="zh-CN"/>
        </w:rPr>
        <w:id w:val="-2041656466"/>
        <w:docPartObj>
          <w:docPartGallery w:val="Table of Contents"/>
          <w:docPartUnique/>
        </w:docPartObj>
      </w:sdtPr>
      <w:sdtEndPr>
        <w:rPr>
          <w:rFonts w:hint="eastAsia" w:ascii="仿宋" w:hAnsi="仿宋" w:eastAsia="仿宋" w:cs="仿宋"/>
          <w:b/>
          <w:bCs/>
          <w:color w:val="auto"/>
          <w:kern w:val="2"/>
          <w:sz w:val="32"/>
          <w:szCs w:val="32"/>
          <w:lang w:val="zh-CN"/>
        </w:rPr>
      </w:sdtEndPr>
      <w:sdtContent>
        <w:p w14:paraId="5DEF807B">
          <w:pPr>
            <w:pStyle w:val="3"/>
            <w:bidi w:val="0"/>
            <w:rPr>
              <w:rFonts w:ascii="仿宋" w:hAnsi="仿宋" w:eastAsia="仿宋" w:cs="仿宋"/>
              <w:sz w:val="44"/>
              <w:szCs w:val="44"/>
            </w:rPr>
          </w:pPr>
          <w:r>
            <w:rPr>
              <w:rFonts w:hint="eastAsia" w:ascii="仿宋" w:hAnsi="仿宋" w:eastAsia="仿宋" w:cs="仿宋"/>
              <w:sz w:val="44"/>
              <w:szCs w:val="44"/>
              <w:lang w:val="zh-CN"/>
            </w:rPr>
            <w:t>目</w:t>
          </w:r>
          <w:r>
            <w:rPr>
              <w:rFonts w:hint="eastAsia" w:ascii="仿宋" w:hAnsi="仿宋" w:eastAsia="仿宋" w:cs="仿宋"/>
              <w:sz w:val="44"/>
              <w:szCs w:val="44"/>
            </w:rPr>
            <w:t xml:space="preserve"> </w:t>
          </w:r>
          <w:r>
            <w:rPr>
              <w:rFonts w:hint="eastAsia" w:ascii="仿宋" w:hAnsi="仿宋" w:eastAsia="仿宋" w:cs="仿宋"/>
              <w:sz w:val="44"/>
              <w:szCs w:val="44"/>
              <w:lang w:val="zh-CN"/>
            </w:rPr>
            <w:t>录</w:t>
          </w:r>
        </w:p>
        <w:p w14:paraId="36F98994">
          <w:pPr>
            <w:pStyle w:val="11"/>
            <w:tabs>
              <w:tab w:val="right" w:leader="dot" w:pos="8306"/>
            </w:tabs>
            <w:rPr>
              <w:rFonts w:ascii="仿宋" w:hAnsi="仿宋" w:eastAsia="仿宋" w:cs="仿宋"/>
              <w:sz w:val="32"/>
              <w:szCs w:val="32"/>
            </w:rPr>
          </w:pPr>
          <w:r>
            <w:rPr>
              <w:rFonts w:hint="eastAsia" w:ascii="仿宋" w:hAnsi="仿宋" w:eastAsia="仿宋" w:cs="仿宋"/>
              <w:sz w:val="32"/>
              <w:szCs w:val="32"/>
            </w:rPr>
            <w:fldChar w:fldCharType="begin"/>
          </w:r>
          <w:r>
            <w:rPr>
              <w:rFonts w:hint="eastAsia" w:ascii="仿宋" w:hAnsi="仿宋" w:eastAsia="仿宋" w:cs="仿宋"/>
              <w:sz w:val="32"/>
              <w:szCs w:val="32"/>
            </w:rPr>
            <w:instrText xml:space="preserve"> TOC \o "1-3" \h \z \u </w:instrText>
          </w:r>
          <w:r>
            <w:rPr>
              <w:rFonts w:hint="eastAsia" w:ascii="仿宋" w:hAnsi="仿宋" w:eastAsia="仿宋" w:cs="仿宋"/>
              <w:sz w:val="32"/>
              <w:szCs w:val="32"/>
            </w:rPr>
            <w:fldChar w:fldCharType="separate"/>
          </w:r>
          <w:r>
            <w:fldChar w:fldCharType="begin"/>
          </w:r>
          <w:r>
            <w:instrText xml:space="preserve"> HYPERLINK \l "_Toc7688" </w:instrText>
          </w:r>
          <w:r>
            <w:fldChar w:fldCharType="separate"/>
          </w:r>
          <w:r>
            <w:rPr>
              <w:rFonts w:hint="eastAsia" w:ascii="仿宋" w:hAnsi="仿宋" w:eastAsia="仿宋" w:cs="仿宋"/>
              <w:sz w:val="32"/>
              <w:szCs w:val="32"/>
              <w:shd w:val="clear" w:color="auto" w:fill="FFFFFF"/>
            </w:rPr>
            <w:t>一、综述</w:t>
          </w:r>
          <w:r>
            <w:rPr>
              <w:rFonts w:hint="eastAsia" w:ascii="仿宋" w:hAnsi="仿宋" w:eastAsia="仿宋" w:cs="仿宋"/>
              <w:sz w:val="32"/>
              <w:szCs w:val="32"/>
            </w:rPr>
            <w:tab/>
          </w:r>
          <w:r>
            <w:rPr>
              <w:rFonts w:hint="eastAsia" w:ascii="仿宋" w:hAnsi="仿宋" w:eastAsia="仿宋" w:cs="仿宋"/>
              <w:sz w:val="32"/>
              <w:szCs w:val="32"/>
            </w:rPr>
            <w:fldChar w:fldCharType="begin"/>
          </w:r>
          <w:r>
            <w:rPr>
              <w:rFonts w:hint="eastAsia" w:ascii="仿宋" w:hAnsi="仿宋" w:eastAsia="仿宋" w:cs="仿宋"/>
              <w:sz w:val="32"/>
              <w:szCs w:val="32"/>
            </w:rPr>
            <w:instrText xml:space="preserve"> PAGEREF _Toc7688 </w:instrText>
          </w:r>
          <w:r>
            <w:rPr>
              <w:rFonts w:hint="eastAsia" w:ascii="仿宋" w:hAnsi="仿宋" w:eastAsia="仿宋" w:cs="仿宋"/>
              <w:sz w:val="32"/>
              <w:szCs w:val="32"/>
            </w:rPr>
            <w:fldChar w:fldCharType="separate"/>
          </w:r>
          <w:r>
            <w:rPr>
              <w:rFonts w:hint="eastAsia" w:ascii="仿宋" w:hAnsi="仿宋" w:eastAsia="仿宋" w:cs="仿宋"/>
              <w:sz w:val="32"/>
              <w:szCs w:val="32"/>
            </w:rPr>
            <w:t>1</w:t>
          </w:r>
          <w:r>
            <w:rPr>
              <w:rFonts w:hint="eastAsia" w:ascii="仿宋" w:hAnsi="仿宋" w:eastAsia="仿宋" w:cs="仿宋"/>
              <w:sz w:val="32"/>
              <w:szCs w:val="32"/>
            </w:rPr>
            <w:fldChar w:fldCharType="end"/>
          </w:r>
          <w:r>
            <w:rPr>
              <w:rFonts w:hint="eastAsia" w:ascii="仿宋" w:hAnsi="仿宋" w:eastAsia="仿宋" w:cs="仿宋"/>
              <w:sz w:val="32"/>
              <w:szCs w:val="32"/>
            </w:rPr>
            <w:fldChar w:fldCharType="end"/>
          </w:r>
        </w:p>
        <w:p w14:paraId="7B870807">
          <w:pPr>
            <w:pStyle w:val="11"/>
            <w:tabs>
              <w:tab w:val="right" w:leader="dot" w:pos="8306"/>
            </w:tabs>
            <w:rPr>
              <w:rFonts w:ascii="仿宋" w:hAnsi="仿宋" w:eastAsia="仿宋" w:cs="仿宋"/>
              <w:sz w:val="32"/>
              <w:szCs w:val="32"/>
            </w:rPr>
          </w:pPr>
          <w:r>
            <w:fldChar w:fldCharType="begin"/>
          </w:r>
          <w:r>
            <w:instrText xml:space="preserve"> HYPERLINK \l "_Toc22898" </w:instrText>
          </w:r>
          <w:r>
            <w:fldChar w:fldCharType="separate"/>
          </w:r>
          <w:r>
            <w:rPr>
              <w:rFonts w:hint="eastAsia" w:ascii="仿宋" w:hAnsi="仿宋" w:eastAsia="仿宋" w:cs="仿宋"/>
              <w:sz w:val="32"/>
              <w:szCs w:val="32"/>
            </w:rPr>
            <w:t>二、 操作步骤</w:t>
          </w:r>
          <w:r>
            <w:rPr>
              <w:rFonts w:hint="eastAsia" w:ascii="仿宋" w:hAnsi="仿宋" w:eastAsia="仿宋" w:cs="仿宋"/>
              <w:sz w:val="32"/>
              <w:szCs w:val="32"/>
            </w:rPr>
            <w:tab/>
          </w:r>
          <w:r>
            <w:rPr>
              <w:rFonts w:hint="eastAsia" w:ascii="仿宋" w:hAnsi="仿宋" w:eastAsia="仿宋" w:cs="仿宋"/>
              <w:sz w:val="32"/>
              <w:szCs w:val="32"/>
            </w:rPr>
            <w:fldChar w:fldCharType="begin"/>
          </w:r>
          <w:r>
            <w:rPr>
              <w:rFonts w:hint="eastAsia" w:ascii="仿宋" w:hAnsi="仿宋" w:eastAsia="仿宋" w:cs="仿宋"/>
              <w:sz w:val="32"/>
              <w:szCs w:val="32"/>
            </w:rPr>
            <w:instrText xml:space="preserve"> PAGEREF _Toc22898 </w:instrText>
          </w:r>
          <w:r>
            <w:rPr>
              <w:rFonts w:hint="eastAsia" w:ascii="仿宋" w:hAnsi="仿宋" w:eastAsia="仿宋" w:cs="仿宋"/>
              <w:sz w:val="32"/>
              <w:szCs w:val="32"/>
            </w:rPr>
            <w:fldChar w:fldCharType="separate"/>
          </w:r>
          <w:r>
            <w:rPr>
              <w:rFonts w:hint="eastAsia" w:ascii="仿宋" w:hAnsi="仿宋" w:eastAsia="仿宋" w:cs="仿宋"/>
              <w:sz w:val="32"/>
              <w:szCs w:val="32"/>
            </w:rPr>
            <w:t>3</w:t>
          </w:r>
          <w:r>
            <w:rPr>
              <w:rFonts w:hint="eastAsia" w:ascii="仿宋" w:hAnsi="仿宋" w:eastAsia="仿宋" w:cs="仿宋"/>
              <w:sz w:val="32"/>
              <w:szCs w:val="32"/>
            </w:rPr>
            <w:fldChar w:fldCharType="end"/>
          </w:r>
          <w:r>
            <w:rPr>
              <w:rFonts w:hint="eastAsia" w:ascii="仿宋" w:hAnsi="仿宋" w:eastAsia="仿宋" w:cs="仿宋"/>
              <w:sz w:val="32"/>
              <w:szCs w:val="32"/>
            </w:rPr>
            <w:fldChar w:fldCharType="end"/>
          </w:r>
        </w:p>
        <w:p w14:paraId="6D9C5BCC">
          <w:pPr>
            <w:pStyle w:val="12"/>
            <w:tabs>
              <w:tab w:val="right" w:leader="dot" w:pos="8306"/>
            </w:tabs>
            <w:rPr>
              <w:rFonts w:ascii="仿宋" w:hAnsi="仿宋" w:eastAsia="仿宋" w:cs="仿宋"/>
              <w:sz w:val="32"/>
              <w:szCs w:val="32"/>
            </w:rPr>
          </w:pPr>
          <w:r>
            <w:fldChar w:fldCharType="begin"/>
          </w:r>
          <w:r>
            <w:instrText xml:space="preserve"> HYPERLINK \l "_Toc22150" </w:instrText>
          </w:r>
          <w:r>
            <w:fldChar w:fldCharType="separate"/>
          </w:r>
          <w:r>
            <w:rPr>
              <w:rFonts w:hint="eastAsia" w:ascii="仿宋" w:hAnsi="仿宋" w:eastAsia="仿宋" w:cs="仿宋"/>
              <w:bCs/>
              <w:sz w:val="32"/>
              <w:szCs w:val="32"/>
            </w:rPr>
            <w:t>1.票据申领</w:t>
          </w:r>
          <w:r>
            <w:rPr>
              <w:rFonts w:hint="eastAsia" w:ascii="仿宋" w:hAnsi="仿宋" w:eastAsia="仿宋" w:cs="仿宋"/>
              <w:sz w:val="32"/>
              <w:szCs w:val="32"/>
            </w:rPr>
            <w:tab/>
          </w:r>
          <w:r>
            <w:rPr>
              <w:rFonts w:hint="eastAsia" w:ascii="仿宋" w:hAnsi="仿宋" w:eastAsia="仿宋" w:cs="仿宋"/>
              <w:sz w:val="32"/>
              <w:szCs w:val="32"/>
            </w:rPr>
            <w:fldChar w:fldCharType="begin"/>
          </w:r>
          <w:r>
            <w:rPr>
              <w:rFonts w:hint="eastAsia" w:ascii="仿宋" w:hAnsi="仿宋" w:eastAsia="仿宋" w:cs="仿宋"/>
              <w:sz w:val="32"/>
              <w:szCs w:val="32"/>
            </w:rPr>
            <w:instrText xml:space="preserve"> PAGEREF _Toc22150 </w:instrText>
          </w:r>
          <w:r>
            <w:rPr>
              <w:rFonts w:hint="eastAsia" w:ascii="仿宋" w:hAnsi="仿宋" w:eastAsia="仿宋" w:cs="仿宋"/>
              <w:sz w:val="32"/>
              <w:szCs w:val="32"/>
            </w:rPr>
            <w:fldChar w:fldCharType="separate"/>
          </w:r>
          <w:r>
            <w:rPr>
              <w:rFonts w:hint="eastAsia" w:ascii="仿宋" w:hAnsi="仿宋" w:eastAsia="仿宋" w:cs="仿宋"/>
              <w:sz w:val="32"/>
              <w:szCs w:val="32"/>
            </w:rPr>
            <w:t>3</w:t>
          </w:r>
          <w:r>
            <w:rPr>
              <w:rFonts w:hint="eastAsia" w:ascii="仿宋" w:hAnsi="仿宋" w:eastAsia="仿宋" w:cs="仿宋"/>
              <w:sz w:val="32"/>
              <w:szCs w:val="32"/>
            </w:rPr>
            <w:fldChar w:fldCharType="end"/>
          </w:r>
          <w:r>
            <w:rPr>
              <w:rFonts w:hint="eastAsia" w:ascii="仿宋" w:hAnsi="仿宋" w:eastAsia="仿宋" w:cs="仿宋"/>
              <w:sz w:val="32"/>
              <w:szCs w:val="32"/>
            </w:rPr>
            <w:fldChar w:fldCharType="end"/>
          </w:r>
        </w:p>
        <w:p w14:paraId="53359415">
          <w:pPr>
            <w:pStyle w:val="12"/>
            <w:tabs>
              <w:tab w:val="right" w:leader="dot" w:pos="8306"/>
            </w:tabs>
            <w:rPr>
              <w:rFonts w:ascii="仿宋" w:hAnsi="仿宋" w:eastAsia="仿宋" w:cs="仿宋"/>
              <w:sz w:val="32"/>
              <w:szCs w:val="32"/>
            </w:rPr>
          </w:pPr>
          <w:r>
            <w:fldChar w:fldCharType="begin"/>
          </w:r>
          <w:r>
            <w:instrText xml:space="preserve"> HYPERLINK \l "_Toc452" </w:instrText>
          </w:r>
          <w:r>
            <w:fldChar w:fldCharType="separate"/>
          </w:r>
          <w:r>
            <w:rPr>
              <w:rFonts w:hint="eastAsia" w:ascii="仿宋" w:hAnsi="仿宋" w:eastAsia="仿宋" w:cs="仿宋"/>
              <w:sz w:val="32"/>
              <w:szCs w:val="32"/>
            </w:rPr>
            <w:t>2.票据入库</w:t>
          </w:r>
          <w:r>
            <w:rPr>
              <w:rFonts w:hint="eastAsia" w:ascii="仿宋" w:hAnsi="仿宋" w:eastAsia="仿宋" w:cs="仿宋"/>
              <w:sz w:val="32"/>
              <w:szCs w:val="32"/>
            </w:rPr>
            <w:tab/>
          </w:r>
          <w:r>
            <w:rPr>
              <w:rFonts w:hint="eastAsia" w:ascii="仿宋" w:hAnsi="仿宋" w:eastAsia="仿宋" w:cs="仿宋"/>
              <w:sz w:val="32"/>
              <w:szCs w:val="32"/>
            </w:rPr>
            <w:fldChar w:fldCharType="begin"/>
          </w:r>
          <w:r>
            <w:rPr>
              <w:rFonts w:hint="eastAsia" w:ascii="仿宋" w:hAnsi="仿宋" w:eastAsia="仿宋" w:cs="仿宋"/>
              <w:sz w:val="32"/>
              <w:szCs w:val="32"/>
            </w:rPr>
            <w:instrText xml:space="preserve"> PAGEREF _Toc452 </w:instrText>
          </w:r>
          <w:r>
            <w:rPr>
              <w:rFonts w:hint="eastAsia" w:ascii="仿宋" w:hAnsi="仿宋" w:eastAsia="仿宋" w:cs="仿宋"/>
              <w:sz w:val="32"/>
              <w:szCs w:val="32"/>
            </w:rPr>
            <w:fldChar w:fldCharType="separate"/>
          </w:r>
          <w:r>
            <w:rPr>
              <w:rFonts w:hint="eastAsia" w:ascii="仿宋" w:hAnsi="仿宋" w:eastAsia="仿宋" w:cs="仿宋"/>
              <w:sz w:val="32"/>
              <w:szCs w:val="32"/>
            </w:rPr>
            <w:t>6</w:t>
          </w:r>
          <w:r>
            <w:rPr>
              <w:rFonts w:hint="eastAsia" w:ascii="仿宋" w:hAnsi="仿宋" w:eastAsia="仿宋" w:cs="仿宋"/>
              <w:sz w:val="32"/>
              <w:szCs w:val="32"/>
            </w:rPr>
            <w:fldChar w:fldCharType="end"/>
          </w:r>
          <w:r>
            <w:rPr>
              <w:rFonts w:hint="eastAsia" w:ascii="仿宋" w:hAnsi="仿宋" w:eastAsia="仿宋" w:cs="仿宋"/>
              <w:sz w:val="32"/>
              <w:szCs w:val="32"/>
            </w:rPr>
            <w:fldChar w:fldCharType="end"/>
          </w:r>
        </w:p>
        <w:p w14:paraId="7EEC77BE">
          <w:pPr>
            <w:pStyle w:val="12"/>
            <w:tabs>
              <w:tab w:val="right" w:leader="dot" w:pos="8306"/>
            </w:tabs>
            <w:rPr>
              <w:rFonts w:ascii="仿宋" w:hAnsi="仿宋" w:eastAsia="仿宋" w:cs="仿宋"/>
              <w:sz w:val="32"/>
              <w:szCs w:val="32"/>
            </w:rPr>
          </w:pPr>
          <w:r>
            <w:fldChar w:fldCharType="begin"/>
          </w:r>
          <w:r>
            <w:instrText xml:space="preserve"> HYPERLINK \l "_Toc18247" </w:instrText>
          </w:r>
          <w:r>
            <w:fldChar w:fldCharType="separate"/>
          </w:r>
          <w:r>
            <w:rPr>
              <w:rFonts w:hint="eastAsia" w:ascii="仿宋" w:hAnsi="仿宋" w:eastAsia="仿宋" w:cs="仿宋"/>
              <w:sz w:val="32"/>
              <w:szCs w:val="32"/>
            </w:rPr>
            <w:t>3.票据退库</w:t>
          </w:r>
          <w:r>
            <w:rPr>
              <w:rFonts w:hint="eastAsia" w:ascii="仿宋" w:hAnsi="仿宋" w:eastAsia="仿宋" w:cs="仿宋"/>
              <w:sz w:val="32"/>
              <w:szCs w:val="32"/>
            </w:rPr>
            <w:tab/>
          </w:r>
          <w:r>
            <w:rPr>
              <w:rFonts w:hint="eastAsia" w:ascii="仿宋" w:hAnsi="仿宋" w:eastAsia="仿宋" w:cs="仿宋"/>
              <w:sz w:val="32"/>
              <w:szCs w:val="32"/>
            </w:rPr>
            <w:fldChar w:fldCharType="begin"/>
          </w:r>
          <w:r>
            <w:rPr>
              <w:rFonts w:hint="eastAsia" w:ascii="仿宋" w:hAnsi="仿宋" w:eastAsia="仿宋" w:cs="仿宋"/>
              <w:sz w:val="32"/>
              <w:szCs w:val="32"/>
            </w:rPr>
            <w:instrText xml:space="preserve"> PAGEREF _Toc18247 </w:instrText>
          </w:r>
          <w:r>
            <w:rPr>
              <w:rFonts w:hint="eastAsia" w:ascii="仿宋" w:hAnsi="仿宋" w:eastAsia="仿宋" w:cs="仿宋"/>
              <w:sz w:val="32"/>
              <w:szCs w:val="32"/>
            </w:rPr>
            <w:fldChar w:fldCharType="separate"/>
          </w:r>
          <w:r>
            <w:rPr>
              <w:rFonts w:hint="eastAsia" w:ascii="仿宋" w:hAnsi="仿宋" w:eastAsia="仿宋" w:cs="仿宋"/>
              <w:sz w:val="32"/>
              <w:szCs w:val="32"/>
            </w:rPr>
            <w:t>7</w:t>
          </w:r>
          <w:r>
            <w:rPr>
              <w:rFonts w:hint="eastAsia" w:ascii="仿宋" w:hAnsi="仿宋" w:eastAsia="仿宋" w:cs="仿宋"/>
              <w:sz w:val="32"/>
              <w:szCs w:val="32"/>
            </w:rPr>
            <w:fldChar w:fldCharType="end"/>
          </w:r>
          <w:r>
            <w:rPr>
              <w:rFonts w:hint="eastAsia" w:ascii="仿宋" w:hAnsi="仿宋" w:eastAsia="仿宋" w:cs="仿宋"/>
              <w:sz w:val="32"/>
              <w:szCs w:val="32"/>
            </w:rPr>
            <w:fldChar w:fldCharType="end"/>
          </w:r>
        </w:p>
        <w:p w14:paraId="41E9CFF2">
          <w:pPr>
            <w:pStyle w:val="12"/>
            <w:tabs>
              <w:tab w:val="right" w:leader="dot" w:pos="8306"/>
            </w:tabs>
            <w:rPr>
              <w:rFonts w:ascii="仿宋" w:hAnsi="仿宋" w:eastAsia="仿宋" w:cs="仿宋"/>
              <w:sz w:val="32"/>
              <w:szCs w:val="32"/>
            </w:rPr>
          </w:pPr>
          <w:r>
            <w:fldChar w:fldCharType="begin"/>
          </w:r>
          <w:r>
            <w:instrText xml:space="preserve"> HYPERLINK \l "_Toc21754" </w:instrText>
          </w:r>
          <w:r>
            <w:fldChar w:fldCharType="separate"/>
          </w:r>
          <w:r>
            <w:rPr>
              <w:rFonts w:hint="eastAsia" w:ascii="仿宋" w:hAnsi="仿宋" w:eastAsia="仿宋" w:cs="仿宋"/>
              <w:sz w:val="32"/>
              <w:szCs w:val="32"/>
            </w:rPr>
            <w:t>4.票据、缴款书开具</w:t>
          </w:r>
          <w:r>
            <w:rPr>
              <w:rFonts w:hint="eastAsia" w:ascii="仿宋" w:hAnsi="仿宋" w:eastAsia="仿宋" w:cs="仿宋"/>
              <w:sz w:val="32"/>
              <w:szCs w:val="32"/>
            </w:rPr>
            <w:tab/>
          </w:r>
          <w:r>
            <w:rPr>
              <w:rFonts w:hint="eastAsia" w:ascii="仿宋" w:hAnsi="仿宋" w:eastAsia="仿宋" w:cs="仿宋"/>
              <w:sz w:val="32"/>
              <w:szCs w:val="32"/>
            </w:rPr>
            <w:fldChar w:fldCharType="begin"/>
          </w:r>
          <w:r>
            <w:rPr>
              <w:rFonts w:hint="eastAsia" w:ascii="仿宋" w:hAnsi="仿宋" w:eastAsia="仿宋" w:cs="仿宋"/>
              <w:sz w:val="32"/>
              <w:szCs w:val="32"/>
            </w:rPr>
            <w:instrText xml:space="preserve"> PAGEREF _Toc21754 </w:instrText>
          </w:r>
          <w:r>
            <w:rPr>
              <w:rFonts w:hint="eastAsia" w:ascii="仿宋" w:hAnsi="仿宋" w:eastAsia="仿宋" w:cs="仿宋"/>
              <w:sz w:val="32"/>
              <w:szCs w:val="32"/>
            </w:rPr>
            <w:fldChar w:fldCharType="separate"/>
          </w:r>
          <w:r>
            <w:rPr>
              <w:rFonts w:hint="eastAsia" w:ascii="仿宋" w:hAnsi="仿宋" w:eastAsia="仿宋" w:cs="仿宋"/>
              <w:sz w:val="32"/>
              <w:szCs w:val="32"/>
            </w:rPr>
            <w:t>8</w:t>
          </w:r>
          <w:r>
            <w:rPr>
              <w:rFonts w:hint="eastAsia" w:ascii="仿宋" w:hAnsi="仿宋" w:eastAsia="仿宋" w:cs="仿宋"/>
              <w:sz w:val="32"/>
              <w:szCs w:val="32"/>
            </w:rPr>
            <w:fldChar w:fldCharType="end"/>
          </w:r>
          <w:r>
            <w:rPr>
              <w:rFonts w:hint="eastAsia" w:ascii="仿宋" w:hAnsi="仿宋" w:eastAsia="仿宋" w:cs="仿宋"/>
              <w:sz w:val="32"/>
              <w:szCs w:val="32"/>
            </w:rPr>
            <w:fldChar w:fldCharType="end"/>
          </w:r>
        </w:p>
        <w:p w14:paraId="0240DD65">
          <w:pPr>
            <w:pStyle w:val="12"/>
            <w:tabs>
              <w:tab w:val="right" w:leader="dot" w:pos="8306"/>
            </w:tabs>
            <w:rPr>
              <w:rFonts w:ascii="仿宋" w:hAnsi="仿宋" w:eastAsia="仿宋" w:cs="仿宋"/>
              <w:sz w:val="32"/>
              <w:szCs w:val="32"/>
            </w:rPr>
          </w:pPr>
          <w:r>
            <w:fldChar w:fldCharType="begin"/>
          </w:r>
          <w:r>
            <w:instrText xml:space="preserve"> HYPERLINK \l "_Toc13664" </w:instrText>
          </w:r>
          <w:r>
            <w:fldChar w:fldCharType="separate"/>
          </w:r>
          <w:r>
            <w:rPr>
              <w:rFonts w:hint="eastAsia" w:ascii="仿宋" w:hAnsi="仿宋" w:eastAsia="仿宋" w:cs="仿宋"/>
              <w:sz w:val="32"/>
              <w:szCs w:val="32"/>
            </w:rPr>
            <w:t>5.票据核销</w:t>
          </w:r>
          <w:r>
            <w:rPr>
              <w:rFonts w:hint="eastAsia" w:ascii="仿宋" w:hAnsi="仿宋" w:eastAsia="仿宋" w:cs="仿宋"/>
              <w:sz w:val="32"/>
              <w:szCs w:val="32"/>
            </w:rPr>
            <w:tab/>
          </w:r>
          <w:r>
            <w:rPr>
              <w:rFonts w:hint="eastAsia" w:ascii="仿宋" w:hAnsi="仿宋" w:eastAsia="仿宋" w:cs="仿宋"/>
              <w:sz w:val="32"/>
              <w:szCs w:val="32"/>
            </w:rPr>
            <w:fldChar w:fldCharType="begin"/>
          </w:r>
          <w:r>
            <w:rPr>
              <w:rFonts w:hint="eastAsia" w:ascii="仿宋" w:hAnsi="仿宋" w:eastAsia="仿宋" w:cs="仿宋"/>
              <w:sz w:val="32"/>
              <w:szCs w:val="32"/>
            </w:rPr>
            <w:instrText xml:space="preserve"> PAGEREF _Toc13664 </w:instrText>
          </w:r>
          <w:r>
            <w:rPr>
              <w:rFonts w:hint="eastAsia" w:ascii="仿宋" w:hAnsi="仿宋" w:eastAsia="仿宋" w:cs="仿宋"/>
              <w:sz w:val="32"/>
              <w:szCs w:val="32"/>
            </w:rPr>
            <w:fldChar w:fldCharType="separate"/>
          </w:r>
          <w:r>
            <w:rPr>
              <w:rFonts w:hint="eastAsia" w:ascii="仿宋" w:hAnsi="仿宋" w:eastAsia="仿宋" w:cs="仿宋"/>
              <w:sz w:val="32"/>
              <w:szCs w:val="32"/>
            </w:rPr>
            <w:t>9</w:t>
          </w:r>
          <w:r>
            <w:rPr>
              <w:rFonts w:hint="eastAsia" w:ascii="仿宋" w:hAnsi="仿宋" w:eastAsia="仿宋" w:cs="仿宋"/>
              <w:sz w:val="32"/>
              <w:szCs w:val="32"/>
            </w:rPr>
            <w:fldChar w:fldCharType="end"/>
          </w:r>
          <w:r>
            <w:rPr>
              <w:rFonts w:hint="eastAsia" w:ascii="仿宋" w:hAnsi="仿宋" w:eastAsia="仿宋" w:cs="仿宋"/>
              <w:sz w:val="32"/>
              <w:szCs w:val="32"/>
            </w:rPr>
            <w:fldChar w:fldCharType="end"/>
          </w:r>
        </w:p>
        <w:p w14:paraId="0C24509B">
          <w:pPr>
            <w:pStyle w:val="12"/>
            <w:tabs>
              <w:tab w:val="right" w:leader="dot" w:pos="8306"/>
            </w:tabs>
            <w:rPr>
              <w:rFonts w:ascii="仿宋" w:hAnsi="仿宋" w:eastAsia="仿宋" w:cs="仿宋"/>
              <w:sz w:val="32"/>
              <w:szCs w:val="32"/>
            </w:rPr>
          </w:pPr>
          <w:r>
            <w:fldChar w:fldCharType="begin"/>
          </w:r>
          <w:r>
            <w:instrText xml:space="preserve"> HYPERLINK \l "_Toc19235" </w:instrText>
          </w:r>
          <w:r>
            <w:fldChar w:fldCharType="separate"/>
          </w:r>
          <w:r>
            <w:rPr>
              <w:rFonts w:hint="eastAsia" w:ascii="仿宋" w:hAnsi="仿宋" w:eastAsia="仿宋" w:cs="仿宋"/>
              <w:sz w:val="32"/>
              <w:szCs w:val="32"/>
            </w:rPr>
            <w:t>6.票据销毁</w:t>
          </w:r>
          <w:r>
            <w:rPr>
              <w:rFonts w:hint="eastAsia" w:ascii="仿宋" w:hAnsi="仿宋" w:eastAsia="仿宋" w:cs="仿宋"/>
              <w:sz w:val="32"/>
              <w:szCs w:val="32"/>
            </w:rPr>
            <w:tab/>
          </w:r>
          <w:r>
            <w:rPr>
              <w:rFonts w:hint="eastAsia" w:ascii="仿宋" w:hAnsi="仿宋" w:eastAsia="仿宋" w:cs="仿宋"/>
              <w:sz w:val="32"/>
              <w:szCs w:val="32"/>
            </w:rPr>
            <w:fldChar w:fldCharType="begin"/>
          </w:r>
          <w:r>
            <w:rPr>
              <w:rFonts w:hint="eastAsia" w:ascii="仿宋" w:hAnsi="仿宋" w:eastAsia="仿宋" w:cs="仿宋"/>
              <w:sz w:val="32"/>
              <w:szCs w:val="32"/>
            </w:rPr>
            <w:instrText xml:space="preserve"> PAGEREF _Toc19235 </w:instrText>
          </w:r>
          <w:r>
            <w:rPr>
              <w:rFonts w:hint="eastAsia" w:ascii="仿宋" w:hAnsi="仿宋" w:eastAsia="仿宋" w:cs="仿宋"/>
              <w:sz w:val="32"/>
              <w:szCs w:val="32"/>
            </w:rPr>
            <w:fldChar w:fldCharType="separate"/>
          </w:r>
          <w:r>
            <w:rPr>
              <w:rFonts w:hint="eastAsia" w:ascii="仿宋" w:hAnsi="仿宋" w:eastAsia="仿宋" w:cs="仿宋"/>
              <w:sz w:val="32"/>
              <w:szCs w:val="32"/>
            </w:rPr>
            <w:t>14</w:t>
          </w:r>
          <w:r>
            <w:rPr>
              <w:rFonts w:hint="eastAsia" w:ascii="仿宋" w:hAnsi="仿宋" w:eastAsia="仿宋" w:cs="仿宋"/>
              <w:sz w:val="32"/>
              <w:szCs w:val="32"/>
            </w:rPr>
            <w:fldChar w:fldCharType="end"/>
          </w:r>
          <w:r>
            <w:rPr>
              <w:rFonts w:hint="eastAsia" w:ascii="仿宋" w:hAnsi="仿宋" w:eastAsia="仿宋" w:cs="仿宋"/>
              <w:sz w:val="32"/>
              <w:szCs w:val="32"/>
            </w:rPr>
            <w:fldChar w:fldCharType="end"/>
          </w:r>
        </w:p>
        <w:p w14:paraId="27743D05">
          <w:pPr>
            <w:ind w:firstLine="640" w:firstLineChars="200"/>
            <w:rPr>
              <w:rFonts w:ascii="仿宋" w:hAnsi="仿宋" w:eastAsia="仿宋" w:cs="仿宋"/>
              <w:sz w:val="32"/>
              <w:szCs w:val="32"/>
            </w:rPr>
          </w:pPr>
          <w:r>
            <w:rPr>
              <w:rFonts w:hint="eastAsia" w:ascii="仿宋" w:hAnsi="仿宋" w:eastAsia="仿宋" w:cs="仿宋"/>
              <w:bCs/>
              <w:sz w:val="32"/>
              <w:szCs w:val="32"/>
              <w:lang w:val="zh-CN"/>
            </w:rPr>
            <w:fldChar w:fldCharType="end"/>
          </w:r>
        </w:p>
      </w:sdtContent>
    </w:sdt>
    <w:p w14:paraId="25746D09">
      <w:pPr>
        <w:ind w:firstLine="640" w:firstLineChars="200"/>
        <w:rPr>
          <w:rFonts w:ascii="仿宋" w:hAnsi="仿宋" w:eastAsia="仿宋" w:cs="仿宋"/>
          <w:sz w:val="32"/>
          <w:szCs w:val="32"/>
        </w:rPr>
      </w:pPr>
    </w:p>
    <w:p w14:paraId="6E18842A">
      <w:pPr>
        <w:ind w:firstLine="640" w:firstLineChars="200"/>
        <w:rPr>
          <w:rFonts w:ascii="仿宋" w:hAnsi="仿宋" w:eastAsia="仿宋" w:cs="仿宋"/>
          <w:sz w:val="32"/>
          <w:szCs w:val="32"/>
        </w:rPr>
      </w:pPr>
    </w:p>
    <w:p w14:paraId="345006F1">
      <w:pPr>
        <w:ind w:firstLine="640" w:firstLineChars="200"/>
        <w:rPr>
          <w:rFonts w:ascii="仿宋" w:hAnsi="仿宋" w:eastAsia="仿宋" w:cs="仿宋"/>
          <w:sz w:val="32"/>
          <w:szCs w:val="32"/>
        </w:rPr>
      </w:pPr>
    </w:p>
    <w:p w14:paraId="0334A490">
      <w:pPr>
        <w:ind w:firstLine="640" w:firstLineChars="200"/>
        <w:rPr>
          <w:rFonts w:ascii="仿宋" w:hAnsi="仿宋" w:eastAsia="仿宋" w:cs="仿宋"/>
          <w:sz w:val="32"/>
          <w:szCs w:val="32"/>
        </w:rPr>
      </w:pPr>
    </w:p>
    <w:p w14:paraId="3BAFB9A9">
      <w:pPr>
        <w:ind w:firstLine="640" w:firstLineChars="200"/>
        <w:rPr>
          <w:rFonts w:ascii="仿宋" w:hAnsi="仿宋" w:eastAsia="仿宋" w:cs="仿宋"/>
          <w:sz w:val="32"/>
          <w:szCs w:val="32"/>
        </w:rPr>
      </w:pPr>
    </w:p>
    <w:p w14:paraId="52A554D5">
      <w:pPr>
        <w:ind w:firstLine="640" w:firstLineChars="200"/>
        <w:rPr>
          <w:rFonts w:ascii="仿宋" w:hAnsi="仿宋" w:eastAsia="仿宋" w:cs="仿宋"/>
          <w:sz w:val="32"/>
          <w:szCs w:val="32"/>
        </w:rPr>
      </w:pPr>
    </w:p>
    <w:p w14:paraId="2E9DE530">
      <w:pPr>
        <w:ind w:firstLine="640" w:firstLineChars="200"/>
        <w:rPr>
          <w:rFonts w:ascii="仿宋" w:hAnsi="仿宋" w:eastAsia="仿宋" w:cs="仿宋"/>
          <w:sz w:val="32"/>
          <w:szCs w:val="32"/>
        </w:rPr>
      </w:pPr>
    </w:p>
    <w:p w14:paraId="4A5C1FC6">
      <w:pPr>
        <w:pStyle w:val="3"/>
        <w:bidi w:val="0"/>
      </w:pPr>
      <w:bookmarkStart w:id="1" w:name="_Toc7688"/>
      <w:r>
        <w:rPr>
          <w:rFonts w:hint="eastAsia"/>
        </w:rPr>
        <w:t>综述</w:t>
      </w:r>
      <w:bookmarkEnd w:id="1"/>
    </w:p>
    <w:p w14:paraId="0C8DB147">
      <w:pPr>
        <w:ind w:firstLine="640" w:firstLineChars="200"/>
        <w:rPr>
          <w:rFonts w:ascii="仿宋" w:hAnsi="仿宋" w:eastAsia="仿宋" w:cs="仿宋"/>
          <w:sz w:val="32"/>
          <w:szCs w:val="32"/>
        </w:rPr>
      </w:pPr>
      <w:r>
        <w:rPr>
          <w:rFonts w:hint="eastAsia" w:ascii="仿宋" w:hAnsi="仿宋" w:eastAsia="仿宋" w:cs="仿宋"/>
          <w:sz w:val="32"/>
          <w:szCs w:val="32"/>
        </w:rPr>
        <w:t>按照北京市财政局加强票据管理的要求，财政票据管理职责发生变化，现财政非税票据涉及相关业务操作发生变化，具体如下：</w:t>
      </w:r>
    </w:p>
    <w:p w14:paraId="43FFA6CC">
      <w:pPr>
        <w:widowControl/>
        <w:shd w:val="clear" w:color="auto" w:fill="FFFFFF"/>
        <w:spacing w:line="360" w:lineRule="atLeast"/>
        <w:ind w:firstLine="640" w:firstLineChars="200"/>
        <w:rPr>
          <w:rFonts w:ascii="仿宋" w:hAnsi="仿宋" w:eastAsia="仿宋" w:cs="仿宋"/>
          <w:color w:val="000000"/>
          <w:sz w:val="32"/>
          <w:szCs w:val="32"/>
        </w:rPr>
      </w:pPr>
      <w:r>
        <w:rPr>
          <w:rFonts w:hint="eastAsia" w:ascii="仿宋" w:hAnsi="仿宋" w:eastAsia="仿宋" w:cs="仿宋"/>
          <w:color w:val="000000"/>
          <w:kern w:val="0"/>
          <w:sz w:val="32"/>
          <w:szCs w:val="32"/>
          <w:shd w:val="clear" w:color="auto" w:fill="FFFFFF"/>
          <w:lang w:bidi="ar"/>
        </w:rPr>
        <w:t>1.涉及用票单位的票据入库、票据退库、票据开具、票据作废都在非税系统进行操作；</w:t>
      </w:r>
    </w:p>
    <w:p w14:paraId="2DB68689">
      <w:pPr>
        <w:widowControl/>
        <w:shd w:val="clear" w:color="auto" w:fill="FFFFFF"/>
        <w:spacing w:line="360" w:lineRule="atLeast"/>
        <w:ind w:firstLine="640" w:firstLineChars="200"/>
        <w:rPr>
          <w:rFonts w:ascii="仿宋" w:hAnsi="仿宋" w:eastAsia="仿宋" w:cs="仿宋"/>
          <w:color w:val="000000"/>
          <w:kern w:val="0"/>
          <w:sz w:val="32"/>
          <w:szCs w:val="32"/>
          <w:shd w:val="clear" w:color="auto" w:fill="FFFFFF"/>
          <w:lang w:bidi="ar"/>
        </w:rPr>
      </w:pPr>
      <w:r>
        <w:rPr>
          <w:rFonts w:hint="eastAsia" w:ascii="仿宋" w:hAnsi="仿宋" w:eastAsia="仿宋" w:cs="仿宋"/>
          <w:color w:val="000000"/>
          <w:kern w:val="0"/>
          <w:sz w:val="32"/>
          <w:szCs w:val="32"/>
          <w:shd w:val="clear" w:color="auto" w:fill="FFFFFF"/>
          <w:lang w:bidi="ar"/>
        </w:rPr>
        <w:t>2.涉及用票单位的印制计划、票据核销、票据销毁、票据查询及财政部门的票据印制、票据发放、票据核销、票据销毁都在票据系统操作；</w:t>
      </w:r>
    </w:p>
    <w:p w14:paraId="4E932474">
      <w:pPr>
        <w:pStyle w:val="19"/>
        <w:ind w:firstLine="640"/>
        <w:rPr>
          <w:rFonts w:ascii="仿宋" w:hAnsi="仿宋" w:eastAsia="仿宋" w:cs="仿宋"/>
          <w:color w:val="000000"/>
          <w:kern w:val="0"/>
          <w:sz w:val="32"/>
          <w:szCs w:val="32"/>
          <w:shd w:val="clear" w:color="auto" w:fill="FFFFFF"/>
          <w:lang w:bidi="ar"/>
        </w:rPr>
      </w:pPr>
      <w:r>
        <w:rPr>
          <w:rFonts w:hint="eastAsia" w:ascii="仿宋" w:hAnsi="仿宋" w:eastAsia="仿宋" w:cs="仿宋"/>
          <w:color w:val="000000"/>
          <w:kern w:val="0"/>
          <w:sz w:val="32"/>
          <w:szCs w:val="32"/>
          <w:shd w:val="clear" w:color="auto" w:fill="FFFFFF"/>
          <w:lang w:bidi="ar"/>
        </w:rPr>
        <w:t>3.涉及</w:t>
      </w:r>
      <w:r>
        <w:rPr>
          <w:rFonts w:hint="eastAsia" w:ascii="仿宋" w:hAnsi="仿宋" w:eastAsia="仿宋" w:cs="仿宋"/>
          <w:sz w:val="32"/>
          <w:szCs w:val="32"/>
        </w:rPr>
        <w:t>各区财政非税收入票据管理部门的票据申领在</w:t>
      </w:r>
      <w:r>
        <w:rPr>
          <w:rFonts w:hint="eastAsia" w:ascii="仿宋" w:hAnsi="仿宋" w:eastAsia="仿宋" w:cs="仿宋"/>
          <w:color w:val="000000"/>
          <w:kern w:val="0"/>
          <w:sz w:val="32"/>
          <w:szCs w:val="32"/>
          <w:shd w:val="clear" w:color="auto" w:fill="FFFFFF"/>
          <w:lang w:bidi="ar"/>
        </w:rPr>
        <w:t>票据系统操作；</w:t>
      </w:r>
      <w:r>
        <w:rPr>
          <w:rFonts w:hint="eastAsia" w:ascii="仿宋" w:hAnsi="仿宋" w:eastAsia="仿宋" w:cs="仿宋"/>
          <w:sz w:val="32"/>
          <w:szCs w:val="32"/>
        </w:rPr>
        <w:t>市级领票单位不用登陆票据系统进行申领，带相关资料直接来市财政局票据中心现场办理领用手续（详情见“关于非税票据领用和发放相关工作的通知”）。</w:t>
      </w:r>
    </w:p>
    <w:p w14:paraId="10A9891B">
      <w:pPr>
        <w:widowControl/>
        <w:shd w:val="clear" w:color="auto" w:fill="FFFFFF"/>
        <w:spacing w:line="360" w:lineRule="atLeast"/>
        <w:ind w:firstLine="640" w:firstLineChars="200"/>
        <w:rPr>
          <w:rFonts w:ascii="仿宋" w:hAnsi="仿宋" w:eastAsia="仿宋" w:cs="仿宋"/>
          <w:color w:val="000000"/>
          <w:kern w:val="0"/>
          <w:sz w:val="32"/>
          <w:szCs w:val="32"/>
          <w:shd w:val="clear" w:color="auto" w:fill="FFFFFF"/>
          <w:lang w:bidi="ar"/>
        </w:rPr>
      </w:pPr>
      <w:r>
        <w:rPr>
          <w:rFonts w:hint="eastAsia" w:ascii="仿宋" w:hAnsi="仿宋" w:eastAsia="仿宋" w:cs="仿宋"/>
          <w:color w:val="000000"/>
          <w:kern w:val="0"/>
          <w:sz w:val="32"/>
          <w:szCs w:val="32"/>
          <w:shd w:val="clear" w:color="auto" w:fill="FFFFFF"/>
          <w:lang w:bidi="ar"/>
        </w:rPr>
        <w:t>4.区财政非税票据管理部门登陆票据系统（两种方式）：</w:t>
      </w:r>
    </w:p>
    <w:p w14:paraId="5A86B26F">
      <w:pPr>
        <w:widowControl/>
        <w:shd w:val="clear" w:color="auto" w:fill="FFFFFF"/>
        <w:spacing w:line="360" w:lineRule="atLeast"/>
        <w:ind w:firstLine="640" w:firstLineChars="200"/>
        <w:rPr>
          <w:rFonts w:ascii="仿宋" w:hAnsi="仿宋" w:eastAsia="仿宋" w:cs="仿宋"/>
          <w:color w:val="000000"/>
          <w:kern w:val="0"/>
          <w:sz w:val="32"/>
          <w:szCs w:val="32"/>
          <w:shd w:val="clear" w:color="auto" w:fill="FFFFFF"/>
          <w:lang w:bidi="ar"/>
        </w:rPr>
      </w:pPr>
      <w:r>
        <w:rPr>
          <w:rFonts w:hint="eastAsia" w:ascii="仿宋" w:hAnsi="仿宋" w:eastAsia="仿宋" w:cs="仿宋"/>
          <w:color w:val="000000"/>
          <w:kern w:val="0"/>
          <w:sz w:val="32"/>
          <w:szCs w:val="32"/>
          <w:shd w:val="clear" w:color="auto" w:fill="FFFFFF"/>
          <w:lang w:bidi="ar"/>
        </w:rPr>
        <w:t>（1）从“北京市非税收入收缴征收管理系统”点击“财政票据系统（区财政）”跳转到票据系统登陆界面进行登陆；</w:t>
      </w:r>
    </w:p>
    <w:p w14:paraId="41A19A88">
      <w:pPr>
        <w:widowControl/>
        <w:shd w:val="clear" w:color="auto" w:fill="FFFFFF"/>
        <w:spacing w:line="360" w:lineRule="atLeast"/>
        <w:ind w:firstLine="640" w:firstLineChars="200"/>
        <w:rPr>
          <w:rFonts w:ascii="仿宋" w:hAnsi="仿宋" w:eastAsia="仿宋" w:cs="仿宋"/>
          <w:color w:val="000000"/>
          <w:kern w:val="0"/>
          <w:sz w:val="32"/>
          <w:szCs w:val="32"/>
          <w:shd w:val="clear" w:color="auto" w:fill="FFFFFF"/>
          <w:lang w:bidi="ar"/>
        </w:rPr>
      </w:pPr>
      <w:r>
        <w:rPr>
          <w:rFonts w:hint="eastAsia" w:ascii="仿宋" w:hAnsi="仿宋" w:eastAsia="仿宋" w:cs="仿宋"/>
          <w:color w:val="000000"/>
          <w:kern w:val="0"/>
          <w:sz w:val="32"/>
          <w:szCs w:val="32"/>
          <w:shd w:val="clear" w:color="auto" w:fill="FFFFFF"/>
        </w:rPr>
        <w:drawing>
          <wp:inline distT="0" distB="0" distL="114300" distR="114300">
            <wp:extent cx="5267960" cy="1333500"/>
            <wp:effectExtent l="0" t="0" r="8890" b="0"/>
            <wp:docPr id="22" name="图片 22" descr="15211111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1521111181(1)"/>
                    <pic:cNvPicPr>
                      <a:picLocks noChangeAspect="1"/>
                    </pic:cNvPicPr>
                  </pic:nvPicPr>
                  <pic:blipFill>
                    <a:blip r:embed="rId8"/>
                    <a:stretch>
                      <a:fillRect/>
                    </a:stretch>
                  </pic:blipFill>
                  <pic:spPr>
                    <a:xfrm>
                      <a:off x="0" y="0"/>
                      <a:ext cx="5267960" cy="1333500"/>
                    </a:xfrm>
                    <a:prstGeom prst="rect">
                      <a:avLst/>
                    </a:prstGeom>
                  </pic:spPr>
                </pic:pic>
              </a:graphicData>
            </a:graphic>
          </wp:inline>
        </w:drawing>
      </w:r>
    </w:p>
    <w:p w14:paraId="2C1272D1">
      <w:pPr>
        <w:widowControl/>
        <w:shd w:val="clear" w:color="auto" w:fill="FFFFFF"/>
        <w:spacing w:line="360" w:lineRule="atLeast"/>
        <w:ind w:firstLine="640" w:firstLineChars="200"/>
        <w:rPr>
          <w:rFonts w:ascii="仿宋" w:hAnsi="仿宋" w:eastAsia="仿宋" w:cs="仿宋"/>
          <w:color w:val="000000"/>
          <w:kern w:val="0"/>
          <w:sz w:val="32"/>
          <w:szCs w:val="32"/>
          <w:shd w:val="clear" w:color="auto" w:fill="FFFFFF"/>
          <w:lang w:bidi="ar"/>
        </w:rPr>
      </w:pPr>
      <w:r>
        <w:rPr>
          <w:rFonts w:hint="eastAsia" w:ascii="仿宋" w:hAnsi="仿宋" w:eastAsia="仿宋" w:cs="仿宋"/>
          <w:color w:val="000000"/>
          <w:kern w:val="0"/>
          <w:sz w:val="32"/>
          <w:szCs w:val="32"/>
          <w:shd w:val="clear" w:color="auto" w:fill="FFFFFF"/>
          <w:lang w:bidi="ar"/>
        </w:rPr>
        <w:t xml:space="preserve">（2）使用政务外网直接在浏览器输入下面的网址进行登陆：  </w:t>
      </w:r>
    </w:p>
    <w:p w14:paraId="673677CE">
      <w:pPr>
        <w:widowControl/>
        <w:shd w:val="clear" w:color="auto" w:fill="FFFFFF"/>
        <w:spacing w:line="360" w:lineRule="atLeast"/>
        <w:ind w:firstLine="420" w:firstLineChars="200"/>
        <w:rPr>
          <w:rFonts w:ascii="仿宋" w:hAnsi="仿宋" w:eastAsia="仿宋" w:cs="仿宋"/>
          <w:color w:val="000000"/>
          <w:kern w:val="0"/>
          <w:sz w:val="32"/>
          <w:szCs w:val="32"/>
          <w:shd w:val="clear" w:color="auto" w:fill="FFFFFF"/>
          <w:lang w:bidi="ar"/>
        </w:rPr>
      </w:pPr>
      <w:r>
        <w:fldChar w:fldCharType="begin"/>
      </w:r>
      <w:r>
        <w:instrText xml:space="preserve"> HYPERLINK "http://172.26.49.105:7001/finance-web/login.do" </w:instrText>
      </w:r>
      <w:r>
        <w:fldChar w:fldCharType="separate"/>
      </w:r>
      <w:r>
        <w:rPr>
          <w:rStyle w:val="16"/>
          <w:rFonts w:hint="eastAsia" w:ascii="仿宋" w:hAnsi="仿宋" w:eastAsia="仿宋" w:cs="仿宋"/>
          <w:color w:val="000000"/>
          <w:kern w:val="0"/>
          <w:sz w:val="32"/>
          <w:szCs w:val="32"/>
          <w:shd w:val="clear" w:color="auto" w:fill="FFFFFF"/>
          <w:lang w:bidi="ar"/>
        </w:rPr>
        <w:t>http://172.26.49.105:7001/finance-web/login.do</w:t>
      </w:r>
      <w:r>
        <w:rPr>
          <w:rStyle w:val="16"/>
          <w:rFonts w:hint="eastAsia" w:ascii="仿宋" w:hAnsi="仿宋" w:eastAsia="仿宋" w:cs="仿宋"/>
          <w:color w:val="000000"/>
          <w:kern w:val="0"/>
          <w:sz w:val="32"/>
          <w:szCs w:val="32"/>
          <w:shd w:val="clear" w:color="auto" w:fill="FFFFFF"/>
          <w:lang w:bidi="ar"/>
        </w:rPr>
        <w:fldChar w:fldCharType="end"/>
      </w:r>
    </w:p>
    <w:p w14:paraId="3062750A">
      <w:pPr>
        <w:widowControl/>
        <w:shd w:val="clear" w:color="auto" w:fill="FFFFFF"/>
        <w:spacing w:line="360" w:lineRule="atLeast"/>
        <w:ind w:firstLine="640" w:firstLineChars="200"/>
        <w:rPr>
          <w:rFonts w:ascii="仿宋" w:hAnsi="仿宋" w:eastAsia="仿宋" w:cs="仿宋"/>
          <w:color w:val="000000"/>
          <w:kern w:val="0"/>
          <w:sz w:val="32"/>
          <w:szCs w:val="32"/>
          <w:shd w:val="clear" w:color="auto" w:fill="FFFFFF"/>
          <w:lang w:bidi="ar"/>
        </w:rPr>
      </w:pPr>
      <w:r>
        <w:rPr>
          <w:rFonts w:hint="eastAsia" w:ascii="仿宋" w:hAnsi="仿宋" w:eastAsia="仿宋" w:cs="仿宋"/>
          <w:color w:val="000000"/>
          <w:kern w:val="0"/>
          <w:sz w:val="32"/>
          <w:szCs w:val="32"/>
          <w:shd w:val="clear" w:color="auto" w:fill="FFFFFF"/>
          <w:lang w:bidi="ar"/>
        </w:rPr>
        <w:t>5.来市财政局票据中心领票的单位登陆票据系统（两种方式）：</w:t>
      </w:r>
    </w:p>
    <w:p w14:paraId="34544BB4">
      <w:pPr>
        <w:widowControl/>
        <w:shd w:val="clear" w:color="auto" w:fill="FFFFFF"/>
        <w:spacing w:line="360" w:lineRule="atLeast"/>
        <w:ind w:firstLine="640" w:firstLineChars="200"/>
        <w:rPr>
          <w:rFonts w:ascii="仿宋" w:hAnsi="仿宋" w:eastAsia="仿宋" w:cs="仿宋"/>
          <w:color w:val="000000"/>
          <w:kern w:val="0"/>
          <w:sz w:val="32"/>
          <w:szCs w:val="32"/>
          <w:shd w:val="clear" w:color="auto" w:fill="FFFFFF"/>
          <w:lang w:bidi="ar"/>
        </w:rPr>
      </w:pPr>
      <w:r>
        <w:rPr>
          <w:rFonts w:hint="eastAsia" w:ascii="仿宋" w:hAnsi="仿宋" w:eastAsia="仿宋" w:cs="仿宋"/>
          <w:color w:val="000000"/>
          <w:kern w:val="0"/>
          <w:sz w:val="32"/>
          <w:szCs w:val="32"/>
          <w:shd w:val="clear" w:color="auto" w:fill="FFFFFF"/>
          <w:lang w:bidi="ar"/>
        </w:rPr>
        <w:t>（1）从“北京市非税收入部门管理系统”或者“北京市非税单位执收系统”点击“财政票据系统（单位）”跳转到票据系统登陆界面进行登陆；</w:t>
      </w:r>
    </w:p>
    <w:p w14:paraId="452A7062">
      <w:pPr>
        <w:widowControl/>
        <w:shd w:val="clear" w:color="auto" w:fill="FFFFFF"/>
        <w:spacing w:line="360" w:lineRule="atLeast"/>
        <w:ind w:firstLine="640" w:firstLineChars="200"/>
        <w:rPr>
          <w:rFonts w:ascii="仿宋" w:hAnsi="仿宋" w:eastAsia="仿宋" w:cs="仿宋"/>
          <w:color w:val="000000"/>
          <w:kern w:val="0"/>
          <w:sz w:val="32"/>
          <w:szCs w:val="32"/>
          <w:shd w:val="clear" w:color="auto" w:fill="FFFFFF"/>
          <w:lang w:bidi="ar"/>
        </w:rPr>
      </w:pPr>
      <w:r>
        <w:rPr>
          <w:rFonts w:hint="eastAsia" w:ascii="仿宋" w:hAnsi="仿宋" w:eastAsia="仿宋" w:cs="仿宋"/>
          <w:color w:val="000000"/>
          <w:kern w:val="0"/>
          <w:sz w:val="32"/>
          <w:szCs w:val="32"/>
          <w:shd w:val="clear" w:color="auto" w:fill="FFFFFF"/>
        </w:rPr>
        <w:drawing>
          <wp:inline distT="0" distB="0" distL="114300" distR="114300">
            <wp:extent cx="5269230" cy="1287145"/>
            <wp:effectExtent l="0" t="0" r="7620" b="8255"/>
            <wp:docPr id="33" name="图片 33" descr="15211112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1521111228(1)"/>
                    <pic:cNvPicPr>
                      <a:picLocks noChangeAspect="1"/>
                    </pic:cNvPicPr>
                  </pic:nvPicPr>
                  <pic:blipFill>
                    <a:blip r:embed="rId9"/>
                    <a:stretch>
                      <a:fillRect/>
                    </a:stretch>
                  </pic:blipFill>
                  <pic:spPr>
                    <a:xfrm>
                      <a:off x="0" y="0"/>
                      <a:ext cx="5269230" cy="1287145"/>
                    </a:xfrm>
                    <a:prstGeom prst="rect">
                      <a:avLst/>
                    </a:prstGeom>
                  </pic:spPr>
                </pic:pic>
              </a:graphicData>
            </a:graphic>
          </wp:inline>
        </w:drawing>
      </w:r>
    </w:p>
    <w:p w14:paraId="1C7CCC3A">
      <w:pPr>
        <w:widowControl/>
        <w:shd w:val="clear" w:color="auto" w:fill="FFFFFF"/>
        <w:spacing w:line="360" w:lineRule="atLeast"/>
        <w:ind w:firstLine="640" w:firstLineChars="200"/>
        <w:rPr>
          <w:rFonts w:ascii="仿宋" w:hAnsi="仿宋" w:eastAsia="仿宋" w:cs="仿宋"/>
          <w:color w:val="000000"/>
          <w:kern w:val="0"/>
          <w:sz w:val="32"/>
          <w:szCs w:val="32"/>
          <w:shd w:val="clear" w:color="auto" w:fill="FFFFFF"/>
          <w:lang w:bidi="ar"/>
        </w:rPr>
      </w:pPr>
      <w:r>
        <w:rPr>
          <w:rFonts w:hint="eastAsia" w:ascii="仿宋" w:hAnsi="仿宋" w:eastAsia="仿宋" w:cs="仿宋"/>
          <w:color w:val="000000"/>
          <w:kern w:val="0"/>
          <w:sz w:val="32"/>
          <w:szCs w:val="32"/>
          <w:shd w:val="clear" w:color="auto" w:fill="FFFFFF"/>
        </w:rPr>
        <w:drawing>
          <wp:inline distT="0" distB="0" distL="114300" distR="114300">
            <wp:extent cx="5273675" cy="2202180"/>
            <wp:effectExtent l="0" t="0" r="3175" b="7620"/>
            <wp:docPr id="37" name="图片 37" descr="15211112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1521111285(1)"/>
                    <pic:cNvPicPr>
                      <a:picLocks noChangeAspect="1"/>
                    </pic:cNvPicPr>
                  </pic:nvPicPr>
                  <pic:blipFill>
                    <a:blip r:embed="rId10"/>
                    <a:stretch>
                      <a:fillRect/>
                    </a:stretch>
                  </pic:blipFill>
                  <pic:spPr>
                    <a:xfrm>
                      <a:off x="0" y="0"/>
                      <a:ext cx="5273675" cy="2202180"/>
                    </a:xfrm>
                    <a:prstGeom prst="rect">
                      <a:avLst/>
                    </a:prstGeom>
                  </pic:spPr>
                </pic:pic>
              </a:graphicData>
            </a:graphic>
          </wp:inline>
        </w:drawing>
      </w:r>
    </w:p>
    <w:p w14:paraId="199689B9">
      <w:pPr>
        <w:widowControl/>
        <w:shd w:val="clear" w:color="auto" w:fill="FFFFFF"/>
        <w:spacing w:line="360" w:lineRule="atLeast"/>
        <w:ind w:firstLine="640" w:firstLineChars="200"/>
        <w:rPr>
          <w:rFonts w:ascii="仿宋" w:hAnsi="仿宋" w:eastAsia="仿宋" w:cs="仿宋"/>
          <w:color w:val="000000"/>
          <w:kern w:val="0"/>
          <w:sz w:val="32"/>
          <w:szCs w:val="32"/>
          <w:shd w:val="clear" w:color="auto" w:fill="FFFFFF"/>
          <w:lang w:bidi="ar"/>
        </w:rPr>
      </w:pPr>
      <w:r>
        <w:rPr>
          <w:rFonts w:hint="eastAsia" w:ascii="仿宋" w:hAnsi="仿宋" w:eastAsia="仿宋" w:cs="仿宋"/>
          <w:color w:val="000000"/>
          <w:kern w:val="0"/>
          <w:sz w:val="32"/>
          <w:szCs w:val="32"/>
          <w:shd w:val="clear" w:color="auto" w:fill="FFFFFF"/>
          <w:lang w:bidi="ar"/>
        </w:rPr>
        <w:t>（2）使用政务外网直接在浏览器输入下面的网址进行登陆：</w:t>
      </w:r>
    </w:p>
    <w:p w14:paraId="66D98C3F">
      <w:pPr>
        <w:widowControl/>
        <w:shd w:val="clear" w:color="auto" w:fill="FFFFFF"/>
        <w:spacing w:line="360" w:lineRule="atLeast"/>
        <w:ind w:firstLine="420" w:firstLineChars="200"/>
        <w:rPr>
          <w:rStyle w:val="16"/>
          <w:rFonts w:ascii="仿宋" w:hAnsi="仿宋" w:eastAsia="仿宋" w:cs="仿宋"/>
          <w:color w:val="000000"/>
          <w:kern w:val="0"/>
          <w:sz w:val="32"/>
          <w:szCs w:val="32"/>
          <w:shd w:val="clear" w:color="auto" w:fill="FFFFFF"/>
          <w:lang w:bidi="ar"/>
        </w:rPr>
      </w:pPr>
      <w:r>
        <w:fldChar w:fldCharType="begin"/>
      </w:r>
      <w:r>
        <w:instrText xml:space="preserve"> HYPERLINK "http://172.26.49.105:7001/agency-web/login.do" </w:instrText>
      </w:r>
      <w:r>
        <w:fldChar w:fldCharType="separate"/>
      </w:r>
      <w:r>
        <w:rPr>
          <w:rStyle w:val="16"/>
          <w:rFonts w:hint="eastAsia" w:ascii="仿宋" w:hAnsi="仿宋" w:eastAsia="仿宋" w:cs="仿宋"/>
          <w:color w:val="000000"/>
          <w:kern w:val="0"/>
          <w:sz w:val="32"/>
          <w:szCs w:val="32"/>
          <w:shd w:val="clear" w:color="auto" w:fill="FFFFFF"/>
          <w:lang w:bidi="ar"/>
        </w:rPr>
        <w:t>http://172.26.49.179:7001/agency-web/login.do</w:t>
      </w:r>
      <w:r>
        <w:rPr>
          <w:rStyle w:val="16"/>
          <w:rFonts w:hint="eastAsia" w:ascii="仿宋" w:hAnsi="仿宋" w:eastAsia="仿宋" w:cs="仿宋"/>
          <w:color w:val="000000"/>
          <w:kern w:val="0"/>
          <w:sz w:val="32"/>
          <w:szCs w:val="32"/>
          <w:shd w:val="clear" w:color="auto" w:fill="FFFFFF"/>
          <w:lang w:bidi="ar"/>
        </w:rPr>
        <w:fldChar w:fldCharType="end"/>
      </w:r>
    </w:p>
    <w:p w14:paraId="719FE8D7">
      <w:pPr>
        <w:widowControl/>
        <w:shd w:val="clear" w:color="auto" w:fill="FFFFFF"/>
        <w:spacing w:line="360" w:lineRule="atLeast"/>
        <w:ind w:firstLine="640" w:firstLineChars="200"/>
        <w:rPr>
          <w:rFonts w:ascii="仿宋" w:hAnsi="仿宋" w:eastAsia="仿宋" w:cs="仿宋"/>
          <w:color w:val="000000"/>
          <w:kern w:val="0"/>
          <w:sz w:val="32"/>
          <w:szCs w:val="32"/>
          <w:shd w:val="clear" w:color="auto" w:fill="FFFFFF"/>
          <w:lang w:bidi="ar"/>
        </w:rPr>
      </w:pPr>
      <w:r>
        <w:rPr>
          <w:rFonts w:hint="eastAsia" w:ascii="仿宋" w:hAnsi="仿宋" w:eastAsia="仿宋" w:cs="仿宋"/>
          <w:color w:val="000000"/>
          <w:kern w:val="0"/>
          <w:sz w:val="32"/>
          <w:szCs w:val="32"/>
          <w:shd w:val="clear" w:color="auto" w:fill="FFFFFF"/>
          <w:lang w:bidi="ar"/>
        </w:rPr>
        <w:t>6.非税系统网址：</w:t>
      </w:r>
    </w:p>
    <w:p w14:paraId="398B06D1">
      <w:pPr>
        <w:widowControl/>
        <w:shd w:val="clear" w:color="auto" w:fill="FFFFFF"/>
        <w:spacing w:line="360" w:lineRule="atLeast"/>
        <w:ind w:firstLine="420" w:firstLineChars="200"/>
        <w:rPr>
          <w:rFonts w:ascii="仿宋" w:hAnsi="仿宋" w:eastAsia="仿宋" w:cs="仿宋"/>
          <w:kern w:val="0"/>
          <w:sz w:val="32"/>
          <w:szCs w:val="32"/>
          <w:shd w:val="clear" w:color="auto" w:fill="FFFFFF"/>
          <w:lang w:bidi="ar"/>
        </w:rPr>
      </w:pPr>
      <w:r>
        <w:fldChar w:fldCharType="begin"/>
      </w:r>
      <w:r>
        <w:instrText xml:space="preserve"> HYPERLINK "http://fssr.bjcz.egov.cn:7806/dw" </w:instrText>
      </w:r>
      <w:r>
        <w:fldChar w:fldCharType="separate"/>
      </w:r>
      <w:r>
        <w:rPr>
          <w:rFonts w:hint="eastAsia" w:ascii="仿宋" w:hAnsi="仿宋" w:eastAsia="仿宋" w:cs="仿宋"/>
          <w:kern w:val="0"/>
          <w:sz w:val="32"/>
          <w:szCs w:val="32"/>
          <w:shd w:val="clear" w:color="auto" w:fill="FFFFFF"/>
          <w:lang w:bidi="ar"/>
        </w:rPr>
        <w:t>http://fssr.bjcz.egov.cn:7806/dw</w:t>
      </w:r>
      <w:r>
        <w:rPr>
          <w:rFonts w:hint="eastAsia" w:ascii="仿宋" w:hAnsi="仿宋" w:eastAsia="仿宋" w:cs="仿宋"/>
          <w:kern w:val="0"/>
          <w:sz w:val="32"/>
          <w:szCs w:val="32"/>
          <w:shd w:val="clear" w:color="auto" w:fill="FFFFFF"/>
          <w:lang w:bidi="ar"/>
        </w:rPr>
        <w:fldChar w:fldCharType="end"/>
      </w:r>
    </w:p>
    <w:p w14:paraId="1623DDF3">
      <w:pPr>
        <w:widowControl/>
        <w:shd w:val="clear" w:color="auto" w:fill="FFFFFF"/>
        <w:spacing w:line="360" w:lineRule="atLeast"/>
        <w:ind w:firstLine="420" w:firstLineChars="200"/>
        <w:rPr>
          <w:rFonts w:ascii="仿宋" w:hAnsi="仿宋" w:eastAsia="仿宋" w:cs="仿宋"/>
          <w:kern w:val="0"/>
          <w:sz w:val="32"/>
          <w:szCs w:val="32"/>
          <w:shd w:val="clear" w:color="auto" w:fill="FFFFFF"/>
          <w:lang w:bidi="ar"/>
        </w:rPr>
      </w:pPr>
      <w:r>
        <w:fldChar w:fldCharType="begin"/>
      </w:r>
      <w:r>
        <w:instrText xml:space="preserve"> HYPERLINK "http://fssr.bjcz.egov.cn:7806/dept" </w:instrText>
      </w:r>
      <w:r>
        <w:fldChar w:fldCharType="separate"/>
      </w:r>
      <w:r>
        <w:rPr>
          <w:rFonts w:hint="eastAsia" w:ascii="仿宋" w:hAnsi="仿宋" w:eastAsia="仿宋" w:cs="仿宋"/>
          <w:kern w:val="0"/>
          <w:sz w:val="32"/>
          <w:szCs w:val="32"/>
          <w:shd w:val="clear" w:color="auto" w:fill="FFFFFF"/>
          <w:lang w:bidi="ar"/>
        </w:rPr>
        <w:t>http://fssr.bjcz.egov.cn:7806/dept</w:t>
      </w:r>
      <w:r>
        <w:rPr>
          <w:rFonts w:hint="eastAsia" w:ascii="仿宋" w:hAnsi="仿宋" w:eastAsia="仿宋" w:cs="仿宋"/>
          <w:kern w:val="0"/>
          <w:sz w:val="32"/>
          <w:szCs w:val="32"/>
          <w:shd w:val="clear" w:color="auto" w:fill="FFFFFF"/>
          <w:lang w:bidi="ar"/>
        </w:rPr>
        <w:fldChar w:fldCharType="end"/>
      </w:r>
    </w:p>
    <w:p w14:paraId="7EBA79E5">
      <w:pPr>
        <w:widowControl/>
        <w:shd w:val="clear" w:color="auto" w:fill="FFFFFF"/>
        <w:spacing w:line="360" w:lineRule="atLeast"/>
        <w:ind w:firstLine="420" w:firstLineChars="200"/>
        <w:rPr>
          <w:rStyle w:val="16"/>
          <w:rFonts w:ascii="仿宋" w:hAnsi="仿宋" w:eastAsia="仿宋" w:cs="仿宋"/>
          <w:kern w:val="0"/>
          <w:sz w:val="32"/>
          <w:szCs w:val="32"/>
          <w:shd w:val="clear" w:color="auto" w:fill="FFFFFF"/>
          <w:lang w:bidi="ar"/>
        </w:rPr>
      </w:pPr>
      <w:r>
        <w:fldChar w:fldCharType="begin"/>
      </w:r>
      <w:r>
        <w:instrText xml:space="preserve"> HYPERLINK "http://fssr.bjcz.egov.cn:7806/cz" </w:instrText>
      </w:r>
      <w:r>
        <w:fldChar w:fldCharType="separate"/>
      </w:r>
      <w:r>
        <w:rPr>
          <w:rStyle w:val="16"/>
          <w:rFonts w:hint="eastAsia" w:ascii="仿宋" w:hAnsi="仿宋" w:eastAsia="仿宋" w:cs="仿宋"/>
          <w:kern w:val="0"/>
          <w:sz w:val="32"/>
          <w:szCs w:val="32"/>
          <w:shd w:val="clear" w:color="auto" w:fill="FFFFFF"/>
          <w:lang w:bidi="ar"/>
        </w:rPr>
        <w:t>http://fssr.bjcz.egov.cn:7806/cz</w:t>
      </w:r>
      <w:r>
        <w:rPr>
          <w:rStyle w:val="16"/>
          <w:rFonts w:hint="eastAsia" w:ascii="仿宋" w:hAnsi="仿宋" w:eastAsia="仿宋" w:cs="仿宋"/>
          <w:kern w:val="0"/>
          <w:sz w:val="32"/>
          <w:szCs w:val="32"/>
          <w:shd w:val="clear" w:color="auto" w:fill="FFFFFF"/>
          <w:lang w:bidi="ar"/>
        </w:rPr>
        <w:fldChar w:fldCharType="end"/>
      </w:r>
    </w:p>
    <w:p w14:paraId="34A7791D">
      <w:pPr>
        <w:pStyle w:val="3"/>
        <w:bidi w:val="0"/>
      </w:pPr>
      <w:bookmarkStart w:id="2" w:name="_Toc22898"/>
      <w:r>
        <w:rPr>
          <w:rFonts w:hint="eastAsia"/>
        </w:rPr>
        <w:t>操作步骤</w:t>
      </w:r>
      <w:bookmarkEnd w:id="2"/>
    </w:p>
    <w:p w14:paraId="34F95F41">
      <w:pPr>
        <w:pStyle w:val="4"/>
        <w:bidi w:val="0"/>
      </w:pPr>
      <w:bookmarkStart w:id="3" w:name="_Toc22150"/>
      <w:r>
        <w:rPr>
          <w:rFonts w:hint="eastAsia"/>
        </w:rPr>
        <w:t>票据申领</w:t>
      </w:r>
      <w:bookmarkEnd w:id="3"/>
    </w:p>
    <w:p w14:paraId="1FCE24EE">
      <w:pPr>
        <w:ind w:firstLine="640" w:firstLineChars="200"/>
        <w:rPr>
          <w:rFonts w:ascii="仿宋" w:hAnsi="仿宋" w:eastAsia="仿宋" w:cs="仿宋"/>
          <w:sz w:val="32"/>
          <w:szCs w:val="32"/>
        </w:rPr>
      </w:pPr>
      <w:r>
        <w:rPr>
          <w:rFonts w:hint="eastAsia" w:ascii="仿宋" w:hAnsi="仿宋" w:eastAsia="仿宋" w:cs="仿宋"/>
          <w:sz w:val="32"/>
          <w:szCs w:val="32"/>
        </w:rPr>
        <w:t>原在非税系统进行，现在票据系统进行。</w:t>
      </w:r>
    </w:p>
    <w:p w14:paraId="56FB9D37">
      <w:pPr>
        <w:pStyle w:val="19"/>
        <w:ind w:firstLine="640"/>
        <w:rPr>
          <w:rFonts w:ascii="仿宋" w:hAnsi="仿宋" w:eastAsia="仿宋" w:cs="仿宋"/>
          <w:sz w:val="32"/>
          <w:szCs w:val="32"/>
        </w:rPr>
      </w:pPr>
      <w:r>
        <w:rPr>
          <w:rFonts w:hint="eastAsia" w:ascii="仿宋" w:hAnsi="仿宋" w:eastAsia="仿宋" w:cs="仿宋"/>
          <w:sz w:val="32"/>
          <w:szCs w:val="32"/>
        </w:rPr>
        <w:t>原流程：</w:t>
      </w:r>
    </w:p>
    <w:p w14:paraId="0CB863C3">
      <w:pPr>
        <w:pStyle w:val="19"/>
        <w:ind w:firstLine="640"/>
        <w:rPr>
          <w:rFonts w:ascii="仿宋" w:hAnsi="仿宋" w:eastAsia="仿宋" w:cs="仿宋"/>
          <w:sz w:val="32"/>
          <w:szCs w:val="32"/>
        </w:rPr>
      </w:pPr>
      <w:r>
        <w:rPr>
          <w:rFonts w:hint="eastAsia" w:ascii="仿宋" w:hAnsi="仿宋" w:eastAsia="仿宋" w:cs="仿宋"/>
          <w:sz w:val="32"/>
          <w:szCs w:val="32"/>
        </w:rPr>
        <w:t>在非税系统的票据管理-领用申请菜单下，增加领用信息，并将领用信息打印在A4纸上，盖上单位章，去市局领用纸质票据。</w:t>
      </w:r>
    </w:p>
    <w:p w14:paraId="5DA299B3">
      <w:pPr>
        <w:pStyle w:val="19"/>
        <w:ind w:firstLine="640"/>
        <w:rPr>
          <w:rFonts w:ascii="仿宋" w:hAnsi="仿宋" w:eastAsia="仿宋" w:cs="仿宋"/>
          <w:sz w:val="32"/>
          <w:szCs w:val="32"/>
        </w:rPr>
      </w:pPr>
      <w:r>
        <w:rPr>
          <w:rFonts w:hint="eastAsia" w:ascii="仿宋" w:hAnsi="仿宋" w:eastAsia="仿宋" w:cs="仿宋"/>
          <w:sz w:val="32"/>
          <w:szCs w:val="32"/>
        </w:rPr>
        <w:t xml:space="preserve">现流程: </w:t>
      </w:r>
    </w:p>
    <w:p w14:paraId="03FF9A15">
      <w:pPr>
        <w:pStyle w:val="19"/>
        <w:ind w:firstLine="640"/>
        <w:rPr>
          <w:rFonts w:ascii="仿宋" w:hAnsi="仿宋" w:eastAsia="仿宋" w:cs="仿宋"/>
          <w:sz w:val="32"/>
          <w:szCs w:val="32"/>
        </w:rPr>
      </w:pPr>
      <w:r>
        <w:rPr>
          <w:rFonts w:hint="eastAsia" w:ascii="仿宋" w:hAnsi="仿宋" w:eastAsia="仿宋" w:cs="仿宋"/>
          <w:sz w:val="32"/>
          <w:szCs w:val="32"/>
        </w:rPr>
        <w:t>各区财政非税收入票据管理部门登陆票据系统进行申领，流程如下：</w:t>
      </w:r>
    </w:p>
    <w:p w14:paraId="61EEC778">
      <w:pPr>
        <w:pStyle w:val="19"/>
        <w:ind w:firstLine="640"/>
        <w:rPr>
          <w:rFonts w:ascii="仿宋" w:hAnsi="仿宋" w:eastAsia="仿宋" w:cs="仿宋"/>
          <w:sz w:val="32"/>
          <w:szCs w:val="32"/>
        </w:rPr>
      </w:pPr>
      <w:r>
        <w:rPr>
          <w:rFonts w:hint="eastAsia" w:ascii="仿宋" w:hAnsi="仿宋" w:eastAsia="仿宋" w:cs="仿宋"/>
          <w:sz w:val="32"/>
          <w:szCs w:val="32"/>
        </w:rPr>
        <w:t>输入用户名及密码——登陆财政票据电子化管理系统</w:t>
      </w:r>
    </w:p>
    <w:p w14:paraId="51FE3F20">
      <w:pPr>
        <w:ind w:firstLine="640" w:firstLineChars="200"/>
        <w:rPr>
          <w:rFonts w:ascii="仿宋" w:hAnsi="仿宋" w:eastAsia="仿宋" w:cs="仿宋"/>
          <w:sz w:val="32"/>
          <w:szCs w:val="32"/>
        </w:rPr>
      </w:pPr>
      <w:r>
        <w:rPr>
          <w:rFonts w:hint="eastAsia" w:ascii="仿宋" w:hAnsi="仿宋" w:eastAsia="仿宋" w:cs="仿宋"/>
          <w:sz w:val="32"/>
          <w:szCs w:val="32"/>
        </w:rPr>
        <w:drawing>
          <wp:inline distT="0" distB="0" distL="0" distR="0">
            <wp:extent cx="5270500" cy="1638935"/>
            <wp:effectExtent l="0" t="0" r="6350" b="1841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270500" cy="1638935"/>
                    </a:xfrm>
                    <a:prstGeom prst="rect">
                      <a:avLst/>
                    </a:prstGeom>
                    <a:noFill/>
                    <a:ln>
                      <a:noFill/>
                    </a:ln>
                  </pic:spPr>
                </pic:pic>
              </a:graphicData>
            </a:graphic>
          </wp:inline>
        </w:drawing>
      </w:r>
    </w:p>
    <w:p w14:paraId="45E899DA">
      <w:pPr>
        <w:ind w:firstLine="640" w:firstLineChars="200"/>
        <w:rPr>
          <w:rFonts w:ascii="仿宋" w:hAnsi="仿宋" w:eastAsia="仿宋" w:cs="仿宋"/>
          <w:sz w:val="32"/>
          <w:szCs w:val="32"/>
        </w:rPr>
      </w:pPr>
      <w:r>
        <w:rPr>
          <w:rFonts w:hint="eastAsia" w:ascii="仿宋" w:hAnsi="仿宋" w:eastAsia="仿宋" w:cs="仿宋"/>
          <w:sz w:val="32"/>
          <w:szCs w:val="32"/>
        </w:rPr>
        <w:t>依次点击票据管理——财政票据库存——票据申领</w:t>
      </w:r>
    </w:p>
    <w:p w14:paraId="1AC54B9D">
      <w:pPr>
        <w:pStyle w:val="19"/>
        <w:ind w:left="559" w:leftChars="266" w:firstLine="0" w:firstLineChars="0"/>
        <w:rPr>
          <w:rFonts w:ascii="仿宋" w:hAnsi="仿宋" w:eastAsia="仿宋" w:cs="仿宋"/>
          <w:sz w:val="32"/>
          <w:szCs w:val="32"/>
        </w:rPr>
      </w:pPr>
      <w:r>
        <w:rPr>
          <w:rFonts w:hint="eastAsia" w:ascii="仿宋" w:hAnsi="仿宋" w:eastAsia="仿宋" w:cs="仿宋"/>
          <w:sz w:val="32"/>
          <w:szCs w:val="32"/>
        </w:rPr>
        <w:drawing>
          <wp:inline distT="0" distB="0" distL="0" distR="0">
            <wp:extent cx="5270500" cy="3079750"/>
            <wp:effectExtent l="0" t="0" r="6350" b="635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5270500" cy="3079750"/>
                    </a:xfrm>
                    <a:prstGeom prst="rect">
                      <a:avLst/>
                    </a:prstGeom>
                    <a:noFill/>
                    <a:ln>
                      <a:noFill/>
                    </a:ln>
                  </pic:spPr>
                </pic:pic>
              </a:graphicData>
            </a:graphic>
          </wp:inline>
        </w:drawing>
      </w:r>
      <w:r>
        <w:rPr>
          <w:rFonts w:hint="eastAsia" w:ascii="仿宋" w:hAnsi="仿宋" w:eastAsia="仿宋" w:cs="仿宋"/>
          <w:sz w:val="32"/>
          <w:szCs w:val="32"/>
        </w:rPr>
        <w:t>点击新增按钮——填写票据申领单——保存——上报。</w:t>
      </w:r>
    </w:p>
    <w:p w14:paraId="0570FD8E">
      <w:pPr>
        <w:pStyle w:val="19"/>
        <w:ind w:firstLine="640"/>
        <w:rPr>
          <w:rFonts w:ascii="仿宋" w:hAnsi="仿宋" w:eastAsia="仿宋" w:cs="仿宋"/>
          <w:sz w:val="32"/>
          <w:szCs w:val="32"/>
        </w:rPr>
      </w:pPr>
      <w:r>
        <w:rPr>
          <w:rFonts w:hint="eastAsia" w:ascii="仿宋" w:hAnsi="仿宋" w:eastAsia="仿宋" w:cs="仿宋"/>
          <w:sz w:val="32"/>
          <w:szCs w:val="32"/>
        </w:rPr>
        <w:t>若是没有直接上报，再次登陆软件后，依次点击票据管理——财政票据库存——票据申领——勾选上记录——上报。</w:t>
      </w:r>
    </w:p>
    <w:p w14:paraId="1104F4D8">
      <w:pPr>
        <w:pStyle w:val="19"/>
        <w:ind w:left="360" w:firstLine="640"/>
        <w:rPr>
          <w:rFonts w:ascii="仿宋" w:hAnsi="仿宋" w:eastAsia="仿宋" w:cs="仿宋"/>
          <w:sz w:val="32"/>
          <w:szCs w:val="32"/>
        </w:rPr>
      </w:pPr>
    </w:p>
    <w:p w14:paraId="136FC9AE">
      <w:pPr>
        <w:pStyle w:val="19"/>
        <w:ind w:firstLine="640"/>
        <w:rPr>
          <w:rFonts w:ascii="仿宋" w:hAnsi="仿宋" w:eastAsia="仿宋" w:cs="仿宋"/>
          <w:sz w:val="32"/>
          <w:szCs w:val="32"/>
        </w:rPr>
      </w:pPr>
      <w:r>
        <w:rPr>
          <w:rFonts w:hint="eastAsia" w:ascii="仿宋" w:hAnsi="仿宋" w:eastAsia="仿宋" w:cs="仿宋"/>
          <w:sz w:val="32"/>
          <w:szCs w:val="32"/>
        </w:rPr>
        <w:drawing>
          <wp:inline distT="0" distB="0" distL="0" distR="0">
            <wp:extent cx="5276850" cy="140970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276850" cy="1409700"/>
                    </a:xfrm>
                    <a:prstGeom prst="rect">
                      <a:avLst/>
                    </a:prstGeom>
                    <a:noFill/>
                    <a:ln>
                      <a:noFill/>
                    </a:ln>
                  </pic:spPr>
                </pic:pic>
              </a:graphicData>
            </a:graphic>
          </wp:inline>
        </w:drawing>
      </w:r>
    </w:p>
    <w:p w14:paraId="2E0AEACE">
      <w:pPr>
        <w:pStyle w:val="19"/>
        <w:ind w:left="360" w:firstLine="640"/>
        <w:rPr>
          <w:rFonts w:ascii="仿宋" w:hAnsi="仿宋" w:eastAsia="仿宋" w:cs="仿宋"/>
          <w:sz w:val="32"/>
          <w:szCs w:val="32"/>
        </w:rPr>
      </w:pPr>
      <w:r>
        <w:rPr>
          <w:rFonts w:hint="eastAsia" w:ascii="仿宋" w:hAnsi="仿宋" w:eastAsia="仿宋" w:cs="仿宋"/>
          <w:sz w:val="32"/>
          <w:szCs w:val="32"/>
        </w:rPr>
        <w:drawing>
          <wp:inline distT="0" distB="0" distL="0" distR="0">
            <wp:extent cx="5270500" cy="3191510"/>
            <wp:effectExtent l="0" t="0" r="6350" b="889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270500" cy="3191510"/>
                    </a:xfrm>
                    <a:prstGeom prst="rect">
                      <a:avLst/>
                    </a:prstGeom>
                    <a:noFill/>
                    <a:ln>
                      <a:noFill/>
                    </a:ln>
                  </pic:spPr>
                </pic:pic>
              </a:graphicData>
            </a:graphic>
          </wp:inline>
        </w:drawing>
      </w:r>
    </w:p>
    <w:p w14:paraId="2E6D2DC1">
      <w:pPr>
        <w:pStyle w:val="19"/>
        <w:ind w:left="360" w:firstLine="640"/>
        <w:rPr>
          <w:rFonts w:ascii="仿宋" w:hAnsi="仿宋" w:eastAsia="仿宋" w:cs="仿宋"/>
          <w:sz w:val="32"/>
          <w:szCs w:val="32"/>
        </w:rPr>
      </w:pPr>
      <w:r>
        <w:rPr>
          <w:rFonts w:hint="eastAsia" w:ascii="仿宋" w:hAnsi="仿宋" w:eastAsia="仿宋" w:cs="仿宋"/>
          <w:sz w:val="32"/>
          <w:szCs w:val="32"/>
        </w:rPr>
        <w:drawing>
          <wp:inline distT="0" distB="0" distL="0" distR="0">
            <wp:extent cx="5303520" cy="3200400"/>
            <wp:effectExtent l="0" t="0" r="1143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5303520" cy="3200400"/>
                    </a:xfrm>
                    <a:prstGeom prst="rect">
                      <a:avLst/>
                    </a:prstGeom>
                    <a:noFill/>
                    <a:ln>
                      <a:noFill/>
                    </a:ln>
                  </pic:spPr>
                </pic:pic>
              </a:graphicData>
            </a:graphic>
          </wp:inline>
        </w:drawing>
      </w:r>
    </w:p>
    <w:p w14:paraId="2D318E27">
      <w:pPr>
        <w:pStyle w:val="19"/>
        <w:ind w:left="360" w:firstLine="640"/>
        <w:rPr>
          <w:rFonts w:ascii="仿宋" w:hAnsi="仿宋" w:eastAsia="仿宋" w:cs="仿宋"/>
          <w:sz w:val="32"/>
          <w:szCs w:val="32"/>
        </w:rPr>
      </w:pPr>
      <w:r>
        <w:rPr>
          <w:rFonts w:hint="eastAsia" w:ascii="仿宋" w:hAnsi="仿宋" w:eastAsia="仿宋" w:cs="仿宋"/>
          <w:sz w:val="32"/>
          <w:szCs w:val="32"/>
        </w:rPr>
        <w:drawing>
          <wp:inline distT="0" distB="0" distL="0" distR="0">
            <wp:extent cx="5270500" cy="1207770"/>
            <wp:effectExtent l="0" t="0" r="6350" b="1143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5270500" cy="1207770"/>
                    </a:xfrm>
                    <a:prstGeom prst="rect">
                      <a:avLst/>
                    </a:prstGeom>
                    <a:noFill/>
                    <a:ln>
                      <a:noFill/>
                    </a:ln>
                  </pic:spPr>
                </pic:pic>
              </a:graphicData>
            </a:graphic>
          </wp:inline>
        </w:drawing>
      </w:r>
    </w:p>
    <w:p w14:paraId="675576AA">
      <w:pPr>
        <w:pStyle w:val="4"/>
        <w:bidi w:val="0"/>
      </w:pPr>
      <w:bookmarkStart w:id="4" w:name="_Toc452"/>
      <w:r>
        <w:rPr>
          <w:rFonts w:hint="eastAsia"/>
        </w:rPr>
        <w:t>票据入库</w:t>
      </w:r>
      <w:bookmarkEnd w:id="4"/>
      <w:r>
        <w:rPr>
          <w:rFonts w:hint="eastAsia"/>
        </w:rPr>
        <w:t xml:space="preserve"> </w:t>
      </w:r>
    </w:p>
    <w:p w14:paraId="6FC1763F">
      <w:pPr>
        <w:ind w:firstLine="640" w:firstLineChars="200"/>
        <w:rPr>
          <w:rFonts w:ascii="仿宋" w:hAnsi="仿宋" w:eastAsia="仿宋" w:cs="仿宋"/>
          <w:bCs/>
          <w:sz w:val="32"/>
          <w:szCs w:val="32"/>
        </w:rPr>
      </w:pPr>
      <w:r>
        <w:rPr>
          <w:rFonts w:hint="eastAsia" w:ascii="仿宋" w:hAnsi="仿宋" w:eastAsia="仿宋" w:cs="仿宋"/>
          <w:bCs/>
          <w:sz w:val="32"/>
          <w:szCs w:val="32"/>
        </w:rPr>
        <w:t>按照非税系统原有流程操作。</w:t>
      </w:r>
    </w:p>
    <w:p w14:paraId="5E20B527">
      <w:pPr>
        <w:pStyle w:val="19"/>
        <w:ind w:firstLine="640"/>
        <w:rPr>
          <w:rFonts w:ascii="仿宋" w:hAnsi="仿宋" w:eastAsia="仿宋" w:cs="仿宋"/>
          <w:sz w:val="32"/>
          <w:szCs w:val="32"/>
        </w:rPr>
      </w:pPr>
      <w:r>
        <w:rPr>
          <w:rFonts w:hint="eastAsia" w:ascii="仿宋" w:hAnsi="仿宋" w:eastAsia="仿宋" w:cs="仿宋"/>
          <w:sz w:val="32"/>
          <w:szCs w:val="32"/>
        </w:rPr>
        <w:t>单位票据入库</w:t>
      </w:r>
    </w:p>
    <w:p w14:paraId="329330E6">
      <w:pPr>
        <w:pStyle w:val="19"/>
        <w:ind w:firstLine="640"/>
        <w:rPr>
          <w:rFonts w:ascii="仿宋" w:hAnsi="仿宋" w:eastAsia="仿宋" w:cs="仿宋"/>
          <w:sz w:val="32"/>
          <w:szCs w:val="32"/>
        </w:rPr>
      </w:pPr>
      <w:r>
        <w:rPr>
          <w:rFonts w:hint="eastAsia" w:ascii="仿宋" w:hAnsi="仿宋" w:eastAsia="仿宋" w:cs="仿宋"/>
          <w:sz w:val="32"/>
          <w:szCs w:val="32"/>
        </w:rPr>
        <w:t>财政票据系统发放票据后，单位人员在非税系统的票据管理-票据入库菜单下，点击接入按钮，系统会提示接入几条领用记录，如下图所示：</w:t>
      </w:r>
    </w:p>
    <w:p w14:paraId="6461124E">
      <w:pPr>
        <w:pStyle w:val="19"/>
        <w:ind w:firstLine="640"/>
        <w:rPr>
          <w:rFonts w:ascii="仿宋" w:hAnsi="仿宋" w:eastAsia="仿宋" w:cs="仿宋"/>
          <w:sz w:val="32"/>
          <w:szCs w:val="32"/>
        </w:rPr>
      </w:pPr>
      <w:r>
        <w:rPr>
          <w:rFonts w:hint="eastAsia" w:ascii="仿宋" w:hAnsi="仿宋" w:eastAsia="仿宋" w:cs="仿宋"/>
          <w:sz w:val="32"/>
          <w:szCs w:val="32"/>
        </w:rPr>
        <w:drawing>
          <wp:inline distT="0" distB="0" distL="0" distR="0">
            <wp:extent cx="5274310" cy="2324100"/>
            <wp:effectExtent l="0" t="0" r="254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7"/>
                    <a:srcRect t="13699" b="7962"/>
                    <a:stretch>
                      <a:fillRect/>
                    </a:stretch>
                  </pic:blipFill>
                  <pic:spPr>
                    <a:xfrm>
                      <a:off x="0" y="0"/>
                      <a:ext cx="5274310" cy="2324100"/>
                    </a:xfrm>
                    <a:prstGeom prst="rect">
                      <a:avLst/>
                    </a:prstGeom>
                    <a:ln>
                      <a:noFill/>
                    </a:ln>
                  </pic:spPr>
                </pic:pic>
              </a:graphicData>
            </a:graphic>
          </wp:inline>
        </w:drawing>
      </w:r>
    </w:p>
    <w:p w14:paraId="129AE6D5">
      <w:pPr>
        <w:pStyle w:val="19"/>
        <w:ind w:firstLine="640"/>
        <w:rPr>
          <w:rFonts w:ascii="仿宋" w:hAnsi="仿宋" w:eastAsia="仿宋" w:cs="仿宋"/>
          <w:sz w:val="32"/>
          <w:szCs w:val="32"/>
        </w:rPr>
      </w:pPr>
      <w:r>
        <w:rPr>
          <w:rFonts w:hint="eastAsia" w:ascii="仿宋" w:hAnsi="仿宋" w:eastAsia="仿宋" w:cs="仿宋"/>
          <w:sz w:val="32"/>
          <w:szCs w:val="32"/>
        </w:rPr>
        <w:t>接入票据后，核对票据名称、票据字轨、票号等信息，核对无误后，选择记录，点击入库按钮，票据信息进入单位库存，如下图所示：</w:t>
      </w:r>
    </w:p>
    <w:p w14:paraId="0C0092E0">
      <w:pPr>
        <w:pStyle w:val="19"/>
        <w:ind w:firstLine="640"/>
        <w:rPr>
          <w:rFonts w:ascii="仿宋" w:hAnsi="仿宋" w:eastAsia="仿宋" w:cs="仿宋"/>
          <w:sz w:val="32"/>
          <w:szCs w:val="32"/>
        </w:rPr>
      </w:pPr>
      <w:r>
        <w:rPr>
          <w:rFonts w:hint="eastAsia" w:ascii="仿宋" w:hAnsi="仿宋" w:eastAsia="仿宋" w:cs="仿宋"/>
          <w:sz w:val="32"/>
          <w:szCs w:val="32"/>
        </w:rPr>
        <w:drawing>
          <wp:inline distT="0" distB="0" distL="0" distR="0">
            <wp:extent cx="5274310" cy="2343150"/>
            <wp:effectExtent l="0" t="0" r="254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8"/>
                    <a:srcRect t="12842" b="8176"/>
                    <a:stretch>
                      <a:fillRect/>
                    </a:stretch>
                  </pic:blipFill>
                  <pic:spPr>
                    <a:xfrm>
                      <a:off x="0" y="0"/>
                      <a:ext cx="5274310" cy="2343150"/>
                    </a:xfrm>
                    <a:prstGeom prst="rect">
                      <a:avLst/>
                    </a:prstGeom>
                    <a:ln>
                      <a:noFill/>
                    </a:ln>
                  </pic:spPr>
                </pic:pic>
              </a:graphicData>
            </a:graphic>
          </wp:inline>
        </w:drawing>
      </w:r>
    </w:p>
    <w:p w14:paraId="317421F8">
      <w:pPr>
        <w:pStyle w:val="19"/>
        <w:ind w:firstLine="640"/>
        <w:rPr>
          <w:rFonts w:ascii="仿宋" w:hAnsi="仿宋" w:eastAsia="仿宋" w:cs="仿宋"/>
          <w:sz w:val="32"/>
          <w:szCs w:val="32"/>
        </w:rPr>
      </w:pPr>
      <w:r>
        <w:rPr>
          <w:rFonts w:hint="eastAsia" w:ascii="仿宋" w:hAnsi="仿宋" w:eastAsia="仿宋" w:cs="仿宋"/>
          <w:sz w:val="32"/>
          <w:szCs w:val="32"/>
        </w:rPr>
        <w:t>同理，市级主管部门和各区财政票据入库操作与单位票据入库操作一致。</w:t>
      </w:r>
    </w:p>
    <w:p w14:paraId="4F5F2601">
      <w:pPr>
        <w:pStyle w:val="4"/>
        <w:bidi w:val="0"/>
      </w:pPr>
      <w:bookmarkStart w:id="5" w:name="_Toc18247"/>
      <w:r>
        <w:rPr>
          <w:rFonts w:hint="eastAsia"/>
        </w:rPr>
        <w:t>票据退库</w:t>
      </w:r>
      <w:bookmarkEnd w:id="5"/>
      <w:r>
        <w:rPr>
          <w:rFonts w:hint="eastAsia"/>
        </w:rPr>
        <w:t xml:space="preserve"> </w:t>
      </w:r>
    </w:p>
    <w:p w14:paraId="048C41EF">
      <w:pPr>
        <w:pStyle w:val="19"/>
        <w:ind w:firstLine="640"/>
        <w:rPr>
          <w:rFonts w:ascii="仿宋" w:hAnsi="仿宋" w:eastAsia="仿宋" w:cs="仿宋"/>
          <w:sz w:val="32"/>
          <w:szCs w:val="32"/>
        </w:rPr>
      </w:pPr>
      <w:r>
        <w:rPr>
          <w:rFonts w:hint="eastAsia" w:ascii="仿宋" w:hAnsi="仿宋" w:eastAsia="仿宋" w:cs="仿宋"/>
          <w:sz w:val="32"/>
          <w:szCs w:val="32"/>
        </w:rPr>
        <w:t>按照非税系统原有流程操作。</w:t>
      </w:r>
    </w:p>
    <w:p w14:paraId="23C2E838">
      <w:pPr>
        <w:pStyle w:val="19"/>
        <w:ind w:firstLine="640"/>
        <w:rPr>
          <w:rFonts w:ascii="仿宋" w:hAnsi="仿宋" w:eastAsia="仿宋" w:cs="仿宋"/>
          <w:sz w:val="32"/>
          <w:szCs w:val="32"/>
        </w:rPr>
      </w:pPr>
      <w:r>
        <w:rPr>
          <w:rFonts w:hint="eastAsia" w:ascii="仿宋" w:hAnsi="仿宋" w:eastAsia="仿宋" w:cs="仿宋"/>
          <w:sz w:val="32"/>
          <w:szCs w:val="32"/>
        </w:rPr>
        <w:t>单位人员在非税系统的票据管理-退票菜单下，点击退票按钮，弹出以下窗口：</w:t>
      </w:r>
    </w:p>
    <w:p w14:paraId="107905F4">
      <w:pPr>
        <w:pStyle w:val="19"/>
        <w:ind w:firstLine="640"/>
        <w:rPr>
          <w:rFonts w:ascii="仿宋" w:hAnsi="仿宋" w:eastAsia="仿宋" w:cs="仿宋"/>
          <w:sz w:val="32"/>
          <w:szCs w:val="32"/>
        </w:rPr>
      </w:pPr>
      <w:r>
        <w:rPr>
          <w:rFonts w:hint="eastAsia" w:ascii="仿宋" w:hAnsi="仿宋" w:eastAsia="仿宋" w:cs="仿宋"/>
          <w:sz w:val="32"/>
          <w:szCs w:val="32"/>
        </w:rPr>
        <w:drawing>
          <wp:inline distT="0" distB="0" distL="0" distR="0">
            <wp:extent cx="5274310" cy="2333625"/>
            <wp:effectExtent l="0" t="0" r="2540" b="952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9"/>
                    <a:srcRect t="12841" b="8498"/>
                    <a:stretch>
                      <a:fillRect/>
                    </a:stretch>
                  </pic:blipFill>
                  <pic:spPr>
                    <a:xfrm>
                      <a:off x="0" y="0"/>
                      <a:ext cx="5274310" cy="2333625"/>
                    </a:xfrm>
                    <a:prstGeom prst="rect">
                      <a:avLst/>
                    </a:prstGeom>
                    <a:ln>
                      <a:noFill/>
                    </a:ln>
                  </pic:spPr>
                </pic:pic>
              </a:graphicData>
            </a:graphic>
          </wp:inline>
        </w:drawing>
      </w:r>
    </w:p>
    <w:p w14:paraId="0E21574E">
      <w:pPr>
        <w:pStyle w:val="19"/>
        <w:ind w:firstLine="640"/>
        <w:rPr>
          <w:rFonts w:ascii="仿宋" w:hAnsi="仿宋" w:eastAsia="仿宋" w:cs="仿宋"/>
          <w:sz w:val="32"/>
          <w:szCs w:val="32"/>
        </w:rPr>
      </w:pPr>
      <w:r>
        <w:rPr>
          <w:rFonts w:hint="eastAsia" w:ascii="仿宋" w:hAnsi="仿宋" w:eastAsia="仿宋" w:cs="仿宋"/>
          <w:sz w:val="32"/>
          <w:szCs w:val="32"/>
        </w:rPr>
        <w:t>选择票据类型、字轨（票据类型是北京市非税收入一般缴款书不需要选择字轨）、输入需要退的起始终止票号，选择退回财政或退回部门（如果是由主管部门发放的票据，需要选择退回部门），点击确定即可。</w:t>
      </w:r>
    </w:p>
    <w:p w14:paraId="426928B6">
      <w:pPr>
        <w:pStyle w:val="19"/>
        <w:ind w:firstLine="643"/>
        <w:rPr>
          <w:rFonts w:ascii="仿宋" w:hAnsi="仿宋" w:eastAsia="仿宋" w:cs="仿宋"/>
          <w:b/>
          <w:sz w:val="32"/>
          <w:szCs w:val="32"/>
        </w:rPr>
      </w:pPr>
      <w:r>
        <w:rPr>
          <w:rFonts w:hint="eastAsia" w:ascii="仿宋" w:hAnsi="仿宋" w:eastAsia="仿宋" w:cs="仿宋"/>
          <w:b/>
          <w:sz w:val="32"/>
          <w:szCs w:val="32"/>
        </w:rPr>
        <w:t>备注：</w:t>
      </w:r>
    </w:p>
    <w:p w14:paraId="03930549">
      <w:pPr>
        <w:pStyle w:val="19"/>
        <w:ind w:firstLine="643"/>
        <w:rPr>
          <w:rFonts w:ascii="仿宋" w:hAnsi="仿宋" w:eastAsia="仿宋" w:cs="仿宋"/>
          <w:b/>
          <w:sz w:val="32"/>
          <w:szCs w:val="32"/>
        </w:rPr>
      </w:pPr>
      <w:r>
        <w:rPr>
          <w:rFonts w:hint="eastAsia" w:ascii="仿宋" w:hAnsi="仿宋" w:eastAsia="仿宋" w:cs="仿宋"/>
          <w:b/>
          <w:sz w:val="32"/>
          <w:szCs w:val="32"/>
        </w:rPr>
        <w:t>空白票据作废、票据退回财政操作后，允许当天撤销操作，第二天后系统不允许撤销。</w:t>
      </w:r>
    </w:p>
    <w:p w14:paraId="11023271">
      <w:pPr>
        <w:pStyle w:val="4"/>
        <w:bidi w:val="0"/>
      </w:pPr>
      <w:bookmarkStart w:id="6" w:name="_Toc21754"/>
      <w:r>
        <w:rPr>
          <w:rFonts w:hint="eastAsia"/>
        </w:rPr>
        <w:t>票据、缴款书开具</w:t>
      </w:r>
      <w:bookmarkEnd w:id="6"/>
      <w:r>
        <w:rPr>
          <w:rFonts w:hint="eastAsia"/>
        </w:rPr>
        <w:t xml:space="preserve"> </w:t>
      </w:r>
    </w:p>
    <w:p w14:paraId="6294A6EB">
      <w:pPr>
        <w:pStyle w:val="19"/>
        <w:ind w:firstLine="640"/>
        <w:rPr>
          <w:rFonts w:ascii="仿宋" w:hAnsi="仿宋" w:eastAsia="仿宋" w:cs="仿宋"/>
          <w:sz w:val="32"/>
          <w:szCs w:val="32"/>
        </w:rPr>
      </w:pPr>
      <w:r>
        <w:rPr>
          <w:rFonts w:hint="eastAsia" w:ascii="仿宋" w:hAnsi="仿宋" w:eastAsia="仿宋" w:cs="仿宋"/>
          <w:sz w:val="32"/>
          <w:szCs w:val="32"/>
        </w:rPr>
        <w:t>按照非税系统原有流程操作。</w:t>
      </w:r>
    </w:p>
    <w:p w14:paraId="4001BAE5">
      <w:pPr>
        <w:pStyle w:val="19"/>
        <w:ind w:firstLine="640"/>
        <w:rPr>
          <w:rFonts w:ascii="仿宋" w:hAnsi="仿宋" w:eastAsia="仿宋" w:cs="仿宋"/>
          <w:sz w:val="32"/>
          <w:szCs w:val="32"/>
        </w:rPr>
      </w:pPr>
      <w:r>
        <w:rPr>
          <w:rFonts w:hint="eastAsia" w:ascii="仿宋" w:hAnsi="仿宋" w:eastAsia="仿宋" w:cs="仿宋"/>
          <w:sz w:val="32"/>
          <w:szCs w:val="32"/>
        </w:rPr>
        <w:t>（1）开具非税收入一般缴款书</w:t>
      </w:r>
    </w:p>
    <w:p w14:paraId="6688701C">
      <w:pPr>
        <w:pStyle w:val="19"/>
        <w:ind w:firstLine="640"/>
        <w:rPr>
          <w:rFonts w:ascii="仿宋" w:hAnsi="仿宋" w:eastAsia="仿宋" w:cs="仿宋"/>
          <w:sz w:val="32"/>
          <w:szCs w:val="32"/>
        </w:rPr>
      </w:pPr>
      <w:r>
        <w:rPr>
          <w:rFonts w:hint="eastAsia" w:ascii="仿宋" w:hAnsi="仿宋" w:eastAsia="仿宋" w:cs="仿宋"/>
          <w:sz w:val="32"/>
          <w:szCs w:val="32"/>
        </w:rPr>
        <w:t>在非税系统的日常业务-缴款书录入与打印菜单下，新增开具票据，并打印，如下图所示：</w:t>
      </w:r>
    </w:p>
    <w:p w14:paraId="32BB1676">
      <w:pPr>
        <w:pStyle w:val="19"/>
        <w:ind w:firstLine="640"/>
        <w:rPr>
          <w:rFonts w:ascii="仿宋" w:hAnsi="仿宋" w:eastAsia="仿宋" w:cs="仿宋"/>
          <w:sz w:val="32"/>
          <w:szCs w:val="32"/>
        </w:rPr>
      </w:pPr>
      <w:r>
        <w:rPr>
          <w:rFonts w:hint="eastAsia" w:ascii="仿宋" w:hAnsi="仿宋" w:eastAsia="仿宋" w:cs="仿宋"/>
          <w:sz w:val="32"/>
          <w:szCs w:val="32"/>
        </w:rPr>
        <w:drawing>
          <wp:inline distT="0" distB="0" distL="0" distR="0">
            <wp:extent cx="5274310" cy="2705100"/>
            <wp:effectExtent l="0" t="0" r="254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20"/>
                    <a:srcRect t="11684" b="3236"/>
                    <a:stretch>
                      <a:fillRect/>
                    </a:stretch>
                  </pic:blipFill>
                  <pic:spPr>
                    <a:xfrm>
                      <a:off x="0" y="0"/>
                      <a:ext cx="5274310" cy="2705100"/>
                    </a:xfrm>
                    <a:prstGeom prst="rect">
                      <a:avLst/>
                    </a:prstGeom>
                    <a:ln>
                      <a:noFill/>
                    </a:ln>
                  </pic:spPr>
                </pic:pic>
              </a:graphicData>
            </a:graphic>
          </wp:inline>
        </w:drawing>
      </w:r>
    </w:p>
    <w:p w14:paraId="04B76E8F">
      <w:pPr>
        <w:pStyle w:val="19"/>
        <w:ind w:firstLine="640"/>
        <w:rPr>
          <w:rFonts w:ascii="仿宋" w:hAnsi="仿宋" w:eastAsia="仿宋" w:cs="仿宋"/>
          <w:sz w:val="32"/>
          <w:szCs w:val="32"/>
        </w:rPr>
      </w:pPr>
      <w:r>
        <w:rPr>
          <w:rFonts w:hint="eastAsia" w:ascii="仿宋" w:hAnsi="仿宋" w:eastAsia="仿宋" w:cs="仿宋"/>
          <w:sz w:val="32"/>
          <w:szCs w:val="32"/>
        </w:rPr>
        <w:t>（2）开具非税收入专用收据</w:t>
      </w:r>
    </w:p>
    <w:p w14:paraId="2EED0B88">
      <w:pPr>
        <w:pStyle w:val="19"/>
        <w:ind w:firstLine="640"/>
        <w:rPr>
          <w:rFonts w:ascii="仿宋" w:hAnsi="仿宋" w:eastAsia="仿宋" w:cs="仿宋"/>
          <w:sz w:val="32"/>
          <w:szCs w:val="32"/>
        </w:rPr>
      </w:pPr>
      <w:r>
        <w:rPr>
          <w:rFonts w:hint="eastAsia" w:ascii="仿宋" w:hAnsi="仿宋" w:eastAsia="仿宋" w:cs="仿宋"/>
          <w:sz w:val="32"/>
          <w:szCs w:val="32"/>
        </w:rPr>
        <w:t>在非税系统的日常业务-专用收据录入与打印菜单下，新增开具票据，并打印，如下图所示：</w:t>
      </w:r>
    </w:p>
    <w:p w14:paraId="19EF7734">
      <w:pPr>
        <w:pStyle w:val="19"/>
        <w:ind w:left="1060" w:leftChars="200" w:hanging="640" w:hangingChars="200"/>
        <w:rPr>
          <w:rFonts w:ascii="仿宋" w:hAnsi="仿宋" w:eastAsia="仿宋" w:cs="仿宋"/>
          <w:sz w:val="32"/>
          <w:szCs w:val="32"/>
        </w:rPr>
      </w:pPr>
      <w:r>
        <w:rPr>
          <w:rFonts w:hint="eastAsia" w:ascii="仿宋" w:hAnsi="仿宋" w:eastAsia="仿宋" w:cs="仿宋"/>
          <w:sz w:val="32"/>
          <w:szCs w:val="32"/>
        </w:rPr>
        <w:drawing>
          <wp:inline distT="0" distB="0" distL="0" distR="0">
            <wp:extent cx="5274310" cy="2705100"/>
            <wp:effectExtent l="0" t="0" r="254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1"/>
                    <a:srcRect t="11383" b="3536"/>
                    <a:stretch>
                      <a:fillRect/>
                    </a:stretch>
                  </pic:blipFill>
                  <pic:spPr>
                    <a:xfrm>
                      <a:off x="0" y="0"/>
                      <a:ext cx="5274310" cy="2705100"/>
                    </a:xfrm>
                    <a:prstGeom prst="rect">
                      <a:avLst/>
                    </a:prstGeom>
                    <a:ln>
                      <a:noFill/>
                    </a:ln>
                  </pic:spPr>
                </pic:pic>
              </a:graphicData>
            </a:graphic>
          </wp:inline>
        </w:drawing>
      </w:r>
    </w:p>
    <w:p w14:paraId="1C884D5D">
      <w:pPr>
        <w:pStyle w:val="19"/>
        <w:ind w:left="1060" w:leftChars="200" w:hanging="640" w:hangingChars="200"/>
        <w:rPr>
          <w:rFonts w:ascii="仿宋" w:hAnsi="仿宋" w:eastAsia="仿宋" w:cs="仿宋"/>
          <w:sz w:val="32"/>
          <w:szCs w:val="32"/>
        </w:rPr>
      </w:pPr>
    </w:p>
    <w:p w14:paraId="04DD5513">
      <w:pPr>
        <w:pStyle w:val="4"/>
        <w:bidi w:val="0"/>
      </w:pPr>
      <w:bookmarkStart w:id="7" w:name="_Toc13664"/>
      <w:r>
        <w:rPr>
          <w:rFonts w:hint="eastAsia"/>
        </w:rPr>
        <w:t>票据核销</w:t>
      </w:r>
      <w:bookmarkEnd w:id="7"/>
    </w:p>
    <w:p w14:paraId="0B470365">
      <w:pPr>
        <w:pStyle w:val="19"/>
        <w:ind w:firstLine="640"/>
        <w:rPr>
          <w:rFonts w:ascii="仿宋" w:hAnsi="仿宋" w:eastAsia="仿宋" w:cs="仿宋"/>
          <w:sz w:val="32"/>
          <w:szCs w:val="32"/>
        </w:rPr>
      </w:pPr>
      <w:r>
        <w:rPr>
          <w:rFonts w:hint="eastAsia" w:ascii="仿宋" w:hAnsi="仿宋" w:eastAsia="仿宋" w:cs="仿宋"/>
          <w:sz w:val="32"/>
          <w:szCs w:val="32"/>
        </w:rPr>
        <w:t>原票据核销在非税系统中进行，现票据核销在票据系统中进行核销申请。</w:t>
      </w:r>
    </w:p>
    <w:p w14:paraId="3C7EFBF8">
      <w:pPr>
        <w:pStyle w:val="19"/>
        <w:ind w:firstLine="640"/>
        <w:rPr>
          <w:rFonts w:ascii="仿宋" w:hAnsi="仿宋" w:eastAsia="仿宋" w:cs="仿宋"/>
          <w:color w:val="FF0000"/>
          <w:sz w:val="32"/>
          <w:szCs w:val="32"/>
        </w:rPr>
      </w:pPr>
      <w:r>
        <w:rPr>
          <w:rFonts w:hint="eastAsia" w:ascii="仿宋" w:hAnsi="仿宋" w:eastAsia="仿宋" w:cs="仿宋"/>
          <w:sz w:val="32"/>
          <w:szCs w:val="32"/>
        </w:rPr>
        <w:t>原流程：</w:t>
      </w:r>
    </w:p>
    <w:p w14:paraId="2E9423DF">
      <w:pPr>
        <w:pStyle w:val="19"/>
        <w:ind w:firstLine="640"/>
        <w:rPr>
          <w:rFonts w:ascii="仿宋" w:hAnsi="仿宋" w:eastAsia="仿宋" w:cs="仿宋"/>
          <w:sz w:val="32"/>
          <w:szCs w:val="32"/>
        </w:rPr>
      </w:pPr>
      <w:r>
        <w:rPr>
          <w:rFonts w:hint="eastAsia" w:ascii="仿宋" w:hAnsi="仿宋" w:eastAsia="仿宋" w:cs="仿宋"/>
          <w:sz w:val="32"/>
          <w:szCs w:val="32"/>
        </w:rPr>
        <w:t>在非税系统的票据管理-核销申请菜单下，新增核销记录，财政人员在非税系统的票据日常业务-核销申请和核销审核菜单下，对单位提交的核销申请电子信息进行审核。</w:t>
      </w:r>
    </w:p>
    <w:p w14:paraId="278B702C">
      <w:pPr>
        <w:pStyle w:val="19"/>
        <w:ind w:firstLine="640"/>
        <w:rPr>
          <w:rFonts w:ascii="仿宋" w:hAnsi="仿宋" w:eastAsia="仿宋" w:cs="仿宋"/>
          <w:sz w:val="32"/>
          <w:szCs w:val="32"/>
        </w:rPr>
      </w:pPr>
      <w:r>
        <w:rPr>
          <w:rFonts w:hint="eastAsia" w:ascii="仿宋" w:hAnsi="仿宋" w:eastAsia="仿宋" w:cs="仿宋"/>
          <w:sz w:val="32"/>
          <w:szCs w:val="32"/>
        </w:rPr>
        <w:t>现流程：</w:t>
      </w:r>
    </w:p>
    <w:p w14:paraId="730E10EC">
      <w:pPr>
        <w:pStyle w:val="19"/>
        <w:ind w:firstLine="640"/>
        <w:rPr>
          <w:rFonts w:ascii="仿宋" w:hAnsi="仿宋" w:eastAsia="仿宋" w:cs="仿宋"/>
          <w:sz w:val="32"/>
          <w:szCs w:val="32"/>
        </w:rPr>
      </w:pPr>
      <w:r>
        <w:rPr>
          <w:rFonts w:hint="eastAsia" w:ascii="仿宋" w:hAnsi="仿宋" w:eastAsia="仿宋" w:cs="仿宋"/>
          <w:sz w:val="32"/>
          <w:szCs w:val="32"/>
        </w:rPr>
        <w:t>输入用户名及密码——登陆财政票据电子化管理系统</w:t>
      </w:r>
    </w:p>
    <w:p w14:paraId="7895DED7">
      <w:pPr>
        <w:ind w:firstLine="640" w:firstLineChars="200"/>
        <w:rPr>
          <w:rFonts w:ascii="仿宋" w:hAnsi="仿宋" w:eastAsia="仿宋" w:cs="仿宋"/>
          <w:sz w:val="32"/>
          <w:szCs w:val="32"/>
        </w:rPr>
      </w:pPr>
      <w:r>
        <w:rPr>
          <w:rFonts w:hint="eastAsia" w:ascii="仿宋" w:hAnsi="仿宋" w:eastAsia="仿宋" w:cs="仿宋"/>
          <w:sz w:val="32"/>
          <w:szCs w:val="32"/>
        </w:rPr>
        <w:drawing>
          <wp:inline distT="0" distB="0" distL="0" distR="0">
            <wp:extent cx="5270500" cy="1638935"/>
            <wp:effectExtent l="0" t="0" r="6350" b="1841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270500" cy="1638935"/>
                    </a:xfrm>
                    <a:prstGeom prst="rect">
                      <a:avLst/>
                    </a:prstGeom>
                    <a:noFill/>
                    <a:ln>
                      <a:noFill/>
                    </a:ln>
                  </pic:spPr>
                </pic:pic>
              </a:graphicData>
            </a:graphic>
          </wp:inline>
        </w:drawing>
      </w:r>
    </w:p>
    <w:p w14:paraId="6FFD978A">
      <w:pPr>
        <w:ind w:firstLine="640" w:firstLineChars="200"/>
        <w:rPr>
          <w:rFonts w:ascii="仿宋" w:hAnsi="仿宋" w:eastAsia="仿宋" w:cs="仿宋"/>
          <w:sz w:val="32"/>
          <w:szCs w:val="32"/>
        </w:rPr>
      </w:pPr>
      <w:r>
        <w:rPr>
          <w:rFonts w:hint="eastAsia" w:ascii="仿宋" w:hAnsi="仿宋" w:eastAsia="仿宋" w:cs="仿宋"/>
          <w:sz w:val="32"/>
          <w:szCs w:val="32"/>
        </w:rPr>
        <w:t>上报流程（机打票）：依次点击票据管理——数据</w:t>
      </w:r>
      <w:r>
        <w:rPr>
          <w:rFonts w:ascii="仿宋" w:hAnsi="仿宋" w:eastAsia="仿宋" w:cs="仿宋"/>
          <w:sz w:val="32"/>
          <w:szCs w:val="32"/>
        </w:rPr>
        <w:t>核销</w:t>
      </w:r>
      <w:r>
        <w:rPr>
          <w:rFonts w:hint="eastAsia" w:ascii="仿宋" w:hAnsi="仿宋" w:eastAsia="仿宋" w:cs="仿宋"/>
          <w:sz w:val="32"/>
          <w:szCs w:val="32"/>
        </w:rPr>
        <w:t>——核销数据上报</w:t>
      </w:r>
    </w:p>
    <w:p w14:paraId="67037438">
      <w:pPr>
        <w:ind w:firstLine="420" w:firstLineChars="200"/>
        <w:rPr>
          <w:rFonts w:ascii="仿宋" w:hAnsi="仿宋" w:eastAsia="仿宋" w:cs="仿宋"/>
          <w:sz w:val="32"/>
          <w:szCs w:val="32"/>
        </w:rPr>
      </w:pPr>
      <w:r>
        <w:drawing>
          <wp:inline distT="0" distB="0" distL="0" distR="0">
            <wp:extent cx="5274310" cy="1737995"/>
            <wp:effectExtent l="0" t="0" r="2540" b="1460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2"/>
                    <a:stretch>
                      <a:fillRect/>
                    </a:stretch>
                  </pic:blipFill>
                  <pic:spPr>
                    <a:xfrm>
                      <a:off x="0" y="0"/>
                      <a:ext cx="5274310" cy="1737995"/>
                    </a:xfrm>
                    <a:prstGeom prst="rect">
                      <a:avLst/>
                    </a:prstGeom>
                  </pic:spPr>
                </pic:pic>
              </a:graphicData>
            </a:graphic>
          </wp:inline>
        </w:drawing>
      </w:r>
    </w:p>
    <w:p w14:paraId="733FA3A9">
      <w:pPr>
        <w:ind w:firstLine="640" w:firstLineChars="200"/>
        <w:rPr>
          <w:rFonts w:ascii="仿宋" w:hAnsi="仿宋" w:eastAsia="仿宋" w:cs="仿宋"/>
          <w:sz w:val="32"/>
          <w:szCs w:val="32"/>
        </w:rPr>
      </w:pPr>
      <w:r>
        <w:rPr>
          <w:rFonts w:hint="eastAsia" w:ascii="仿宋" w:hAnsi="仿宋" w:eastAsia="仿宋" w:cs="仿宋"/>
          <w:sz w:val="32"/>
          <w:szCs w:val="32"/>
        </w:rPr>
        <w:t>点击新增——选择截止日期——下一步——生成——上报</w:t>
      </w:r>
    </w:p>
    <w:p w14:paraId="4A3324E4">
      <w:pPr>
        <w:ind w:firstLine="420" w:firstLineChars="200"/>
        <w:rPr>
          <w:rFonts w:ascii="仿宋" w:hAnsi="仿宋" w:eastAsia="仿宋" w:cs="仿宋"/>
          <w:sz w:val="32"/>
          <w:szCs w:val="32"/>
        </w:rPr>
      </w:pPr>
      <w:r>
        <w:drawing>
          <wp:inline distT="0" distB="0" distL="0" distR="0">
            <wp:extent cx="5274310" cy="2005330"/>
            <wp:effectExtent l="0" t="0" r="2540" b="1397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23"/>
                    <a:stretch>
                      <a:fillRect/>
                    </a:stretch>
                  </pic:blipFill>
                  <pic:spPr>
                    <a:xfrm>
                      <a:off x="0" y="0"/>
                      <a:ext cx="5274310" cy="2005330"/>
                    </a:xfrm>
                    <a:prstGeom prst="rect">
                      <a:avLst/>
                    </a:prstGeom>
                  </pic:spPr>
                </pic:pic>
              </a:graphicData>
            </a:graphic>
          </wp:inline>
        </w:drawing>
      </w:r>
    </w:p>
    <w:p w14:paraId="49A22481">
      <w:pPr>
        <w:ind w:firstLine="640" w:firstLineChars="200"/>
        <w:rPr>
          <w:rFonts w:ascii="仿宋" w:hAnsi="仿宋" w:eastAsia="仿宋" w:cs="仿宋"/>
          <w:sz w:val="32"/>
          <w:szCs w:val="32"/>
        </w:rPr>
      </w:pPr>
      <w:r>
        <w:rPr>
          <w:rFonts w:hint="eastAsia" w:ascii="仿宋" w:hAnsi="仿宋" w:eastAsia="仿宋" w:cs="仿宋"/>
          <w:sz w:val="32"/>
          <w:szCs w:val="32"/>
        </w:rPr>
        <w:drawing>
          <wp:inline distT="0" distB="0" distL="0" distR="0">
            <wp:extent cx="5270500" cy="2570480"/>
            <wp:effectExtent l="0" t="0" r="6350" b="127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5270500" cy="2570480"/>
                    </a:xfrm>
                    <a:prstGeom prst="rect">
                      <a:avLst/>
                    </a:prstGeom>
                    <a:noFill/>
                    <a:ln>
                      <a:noFill/>
                    </a:ln>
                  </pic:spPr>
                </pic:pic>
              </a:graphicData>
            </a:graphic>
          </wp:inline>
        </w:drawing>
      </w:r>
    </w:p>
    <w:p w14:paraId="3BEC3C21">
      <w:pPr>
        <w:ind w:firstLine="640" w:firstLineChars="200"/>
        <w:rPr>
          <w:rFonts w:ascii="仿宋" w:hAnsi="仿宋" w:eastAsia="仿宋" w:cs="仿宋"/>
          <w:sz w:val="32"/>
          <w:szCs w:val="32"/>
        </w:rPr>
      </w:pPr>
      <w:r>
        <w:rPr>
          <w:rFonts w:hint="eastAsia" w:ascii="仿宋" w:hAnsi="仿宋" w:eastAsia="仿宋" w:cs="仿宋"/>
          <w:sz w:val="32"/>
          <w:szCs w:val="32"/>
        </w:rPr>
        <w:drawing>
          <wp:inline distT="0" distB="0" distL="0" distR="0">
            <wp:extent cx="5270500" cy="2233930"/>
            <wp:effectExtent l="0" t="0" r="6350" b="1397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5270500" cy="2233930"/>
                    </a:xfrm>
                    <a:prstGeom prst="rect">
                      <a:avLst/>
                    </a:prstGeom>
                    <a:noFill/>
                    <a:ln>
                      <a:noFill/>
                    </a:ln>
                  </pic:spPr>
                </pic:pic>
              </a:graphicData>
            </a:graphic>
          </wp:inline>
        </w:drawing>
      </w:r>
    </w:p>
    <w:p w14:paraId="0F74DA11">
      <w:pPr>
        <w:ind w:firstLine="640" w:firstLineChars="200"/>
        <w:rPr>
          <w:rFonts w:ascii="仿宋" w:hAnsi="仿宋" w:eastAsia="仿宋" w:cs="仿宋"/>
          <w:sz w:val="32"/>
          <w:szCs w:val="32"/>
        </w:rPr>
      </w:pPr>
      <w:r>
        <w:rPr>
          <w:rFonts w:hint="eastAsia" w:ascii="仿宋" w:hAnsi="仿宋" w:eastAsia="仿宋" w:cs="仿宋"/>
          <w:sz w:val="32"/>
          <w:szCs w:val="32"/>
        </w:rPr>
        <w:drawing>
          <wp:inline distT="0" distB="0" distL="0" distR="0">
            <wp:extent cx="5262245" cy="2165350"/>
            <wp:effectExtent l="0" t="0" r="14605" b="635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5262245" cy="2165350"/>
                    </a:xfrm>
                    <a:prstGeom prst="rect">
                      <a:avLst/>
                    </a:prstGeom>
                    <a:noFill/>
                    <a:ln>
                      <a:noFill/>
                    </a:ln>
                  </pic:spPr>
                </pic:pic>
              </a:graphicData>
            </a:graphic>
          </wp:inline>
        </w:drawing>
      </w:r>
    </w:p>
    <w:p w14:paraId="0E379C21">
      <w:pPr>
        <w:ind w:firstLine="640" w:firstLineChars="200"/>
        <w:rPr>
          <w:rFonts w:ascii="仿宋" w:hAnsi="仿宋" w:eastAsia="仿宋" w:cs="仿宋"/>
          <w:sz w:val="32"/>
          <w:szCs w:val="32"/>
        </w:rPr>
      </w:pPr>
      <w:r>
        <w:rPr>
          <w:rFonts w:hint="eastAsia" w:ascii="仿宋" w:hAnsi="仿宋" w:eastAsia="仿宋" w:cs="仿宋"/>
          <w:sz w:val="32"/>
          <w:szCs w:val="32"/>
        </w:rPr>
        <w:t>上报流程（手工票）：依次点击开票管理——开手工票——新增——录入收费明细（整本连号录入）——录入作废明细——保存——关闭</w:t>
      </w:r>
    </w:p>
    <w:p w14:paraId="5A55CC99">
      <w:pPr>
        <w:ind w:firstLine="640" w:firstLineChars="200"/>
        <w:rPr>
          <w:rFonts w:ascii="仿宋" w:hAnsi="仿宋" w:eastAsia="仿宋" w:cs="仿宋"/>
          <w:sz w:val="32"/>
          <w:szCs w:val="32"/>
        </w:rPr>
      </w:pPr>
      <w:r>
        <w:rPr>
          <w:rFonts w:hint="eastAsia" w:ascii="仿宋" w:hAnsi="仿宋" w:eastAsia="仿宋" w:cs="仿宋"/>
          <w:sz w:val="32"/>
          <w:szCs w:val="32"/>
        </w:rPr>
        <w:drawing>
          <wp:inline distT="0" distB="0" distL="0" distR="0">
            <wp:extent cx="5270500" cy="2786380"/>
            <wp:effectExtent l="0" t="0" r="6350" b="1397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5270500" cy="2786380"/>
                    </a:xfrm>
                    <a:prstGeom prst="rect">
                      <a:avLst/>
                    </a:prstGeom>
                    <a:noFill/>
                    <a:ln>
                      <a:noFill/>
                    </a:ln>
                  </pic:spPr>
                </pic:pic>
              </a:graphicData>
            </a:graphic>
          </wp:inline>
        </w:drawing>
      </w:r>
    </w:p>
    <w:p w14:paraId="4A54975D">
      <w:pPr>
        <w:ind w:firstLine="640" w:firstLineChars="200"/>
        <w:rPr>
          <w:rFonts w:ascii="仿宋" w:hAnsi="仿宋" w:eastAsia="仿宋" w:cs="仿宋"/>
          <w:sz w:val="32"/>
          <w:szCs w:val="32"/>
        </w:rPr>
      </w:pPr>
      <w:r>
        <w:rPr>
          <w:rFonts w:hint="eastAsia" w:ascii="仿宋" w:hAnsi="仿宋" w:eastAsia="仿宋" w:cs="仿宋"/>
          <w:sz w:val="32"/>
          <w:szCs w:val="32"/>
        </w:rPr>
        <w:drawing>
          <wp:inline distT="0" distB="0" distL="0" distR="0">
            <wp:extent cx="5270500" cy="3329940"/>
            <wp:effectExtent l="0" t="0" r="6350" b="381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5270500" cy="3329940"/>
                    </a:xfrm>
                    <a:prstGeom prst="rect">
                      <a:avLst/>
                    </a:prstGeom>
                    <a:noFill/>
                    <a:ln>
                      <a:noFill/>
                    </a:ln>
                  </pic:spPr>
                </pic:pic>
              </a:graphicData>
            </a:graphic>
          </wp:inline>
        </w:drawing>
      </w:r>
    </w:p>
    <w:p w14:paraId="0BF9F298">
      <w:pPr>
        <w:ind w:firstLine="640" w:firstLineChars="200"/>
        <w:rPr>
          <w:rFonts w:ascii="仿宋" w:hAnsi="仿宋" w:eastAsia="仿宋" w:cs="仿宋"/>
          <w:sz w:val="32"/>
          <w:szCs w:val="32"/>
        </w:rPr>
      </w:pPr>
      <w:r>
        <w:rPr>
          <w:rFonts w:hint="eastAsia" w:ascii="仿宋" w:hAnsi="仿宋" w:eastAsia="仿宋" w:cs="仿宋"/>
          <w:sz w:val="32"/>
          <w:szCs w:val="32"/>
        </w:rPr>
        <w:drawing>
          <wp:inline distT="0" distB="0" distL="0" distR="0">
            <wp:extent cx="5270500" cy="3243580"/>
            <wp:effectExtent l="0" t="0" r="6350" b="1397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5270500" cy="3243580"/>
                    </a:xfrm>
                    <a:prstGeom prst="rect">
                      <a:avLst/>
                    </a:prstGeom>
                    <a:noFill/>
                    <a:ln>
                      <a:noFill/>
                    </a:ln>
                  </pic:spPr>
                </pic:pic>
              </a:graphicData>
            </a:graphic>
          </wp:inline>
        </w:drawing>
      </w:r>
    </w:p>
    <w:p w14:paraId="42FA5BBB">
      <w:pPr>
        <w:ind w:firstLine="960" w:firstLineChars="300"/>
        <w:rPr>
          <w:rFonts w:ascii="仿宋" w:hAnsi="仿宋" w:eastAsia="仿宋" w:cs="仿宋"/>
          <w:sz w:val="32"/>
          <w:szCs w:val="32"/>
        </w:rPr>
      </w:pPr>
      <w:bookmarkStart w:id="8" w:name="_Toc19235"/>
      <w:r>
        <w:rPr>
          <w:rFonts w:hint="eastAsia" w:ascii="仿宋" w:hAnsi="仿宋" w:eastAsia="仿宋" w:cs="仿宋"/>
          <w:sz w:val="32"/>
          <w:szCs w:val="32"/>
        </w:rPr>
        <w:t>依次点击票据管理——数据</w:t>
      </w:r>
      <w:r>
        <w:rPr>
          <w:rFonts w:ascii="仿宋" w:hAnsi="仿宋" w:eastAsia="仿宋" w:cs="仿宋"/>
          <w:sz w:val="32"/>
          <w:szCs w:val="32"/>
        </w:rPr>
        <w:t>核销</w:t>
      </w:r>
      <w:r>
        <w:rPr>
          <w:rFonts w:hint="eastAsia" w:ascii="仿宋" w:hAnsi="仿宋" w:eastAsia="仿宋" w:cs="仿宋"/>
          <w:sz w:val="32"/>
          <w:szCs w:val="32"/>
        </w:rPr>
        <w:t>——核销数据上报</w:t>
      </w:r>
    </w:p>
    <w:p w14:paraId="2143A0D0">
      <w:pPr>
        <w:ind w:firstLine="420" w:firstLineChars="200"/>
        <w:rPr>
          <w:rFonts w:ascii="仿宋" w:hAnsi="仿宋" w:eastAsia="仿宋" w:cs="仿宋"/>
          <w:sz w:val="32"/>
          <w:szCs w:val="32"/>
        </w:rPr>
      </w:pPr>
      <w:r>
        <w:drawing>
          <wp:inline distT="0" distB="0" distL="0" distR="0">
            <wp:extent cx="5274310" cy="1737995"/>
            <wp:effectExtent l="0" t="0" r="2540" b="1460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22"/>
                    <a:stretch>
                      <a:fillRect/>
                    </a:stretch>
                  </pic:blipFill>
                  <pic:spPr>
                    <a:xfrm>
                      <a:off x="0" y="0"/>
                      <a:ext cx="5274310" cy="1737995"/>
                    </a:xfrm>
                    <a:prstGeom prst="rect">
                      <a:avLst/>
                    </a:prstGeom>
                  </pic:spPr>
                </pic:pic>
              </a:graphicData>
            </a:graphic>
          </wp:inline>
        </w:drawing>
      </w:r>
    </w:p>
    <w:p w14:paraId="287B204C">
      <w:pPr>
        <w:ind w:firstLine="640" w:firstLineChars="200"/>
        <w:rPr>
          <w:rFonts w:ascii="仿宋" w:hAnsi="仿宋" w:eastAsia="仿宋" w:cs="仿宋"/>
          <w:sz w:val="32"/>
          <w:szCs w:val="32"/>
        </w:rPr>
      </w:pPr>
      <w:r>
        <w:rPr>
          <w:rFonts w:hint="eastAsia" w:ascii="仿宋" w:hAnsi="仿宋" w:eastAsia="仿宋" w:cs="仿宋"/>
          <w:sz w:val="32"/>
          <w:szCs w:val="32"/>
        </w:rPr>
        <w:t>点击新增——选择截止日期——下一步——生成——上报</w:t>
      </w:r>
    </w:p>
    <w:p w14:paraId="1DCC2687">
      <w:pPr>
        <w:ind w:firstLine="420" w:firstLineChars="200"/>
        <w:rPr>
          <w:rFonts w:ascii="仿宋" w:hAnsi="仿宋" w:eastAsia="仿宋" w:cs="仿宋"/>
          <w:sz w:val="32"/>
          <w:szCs w:val="32"/>
        </w:rPr>
      </w:pPr>
      <w:r>
        <w:drawing>
          <wp:inline distT="0" distB="0" distL="0" distR="0">
            <wp:extent cx="5274310" cy="2005330"/>
            <wp:effectExtent l="0" t="0" r="2540" b="1397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23"/>
                    <a:stretch>
                      <a:fillRect/>
                    </a:stretch>
                  </pic:blipFill>
                  <pic:spPr>
                    <a:xfrm>
                      <a:off x="0" y="0"/>
                      <a:ext cx="5274310" cy="2005330"/>
                    </a:xfrm>
                    <a:prstGeom prst="rect">
                      <a:avLst/>
                    </a:prstGeom>
                  </pic:spPr>
                </pic:pic>
              </a:graphicData>
            </a:graphic>
          </wp:inline>
        </w:drawing>
      </w:r>
    </w:p>
    <w:p w14:paraId="0D69DC8D">
      <w:pPr>
        <w:ind w:firstLine="640" w:firstLineChars="200"/>
        <w:rPr>
          <w:rFonts w:ascii="仿宋" w:hAnsi="仿宋" w:eastAsia="仿宋" w:cs="仿宋"/>
          <w:sz w:val="32"/>
          <w:szCs w:val="32"/>
        </w:rPr>
      </w:pPr>
      <w:r>
        <w:rPr>
          <w:rFonts w:hint="eastAsia" w:ascii="仿宋" w:hAnsi="仿宋" w:eastAsia="仿宋" w:cs="仿宋"/>
          <w:sz w:val="32"/>
          <w:szCs w:val="32"/>
        </w:rPr>
        <w:drawing>
          <wp:inline distT="0" distB="0" distL="0" distR="0">
            <wp:extent cx="5270500" cy="2570480"/>
            <wp:effectExtent l="0" t="0" r="6350" b="127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5270500" cy="2570480"/>
                    </a:xfrm>
                    <a:prstGeom prst="rect">
                      <a:avLst/>
                    </a:prstGeom>
                    <a:noFill/>
                    <a:ln>
                      <a:noFill/>
                    </a:ln>
                  </pic:spPr>
                </pic:pic>
              </a:graphicData>
            </a:graphic>
          </wp:inline>
        </w:drawing>
      </w:r>
    </w:p>
    <w:p w14:paraId="79D0A72E">
      <w:pPr>
        <w:ind w:firstLine="640" w:firstLineChars="200"/>
        <w:rPr>
          <w:rFonts w:ascii="仿宋" w:hAnsi="仿宋" w:eastAsia="仿宋" w:cs="仿宋"/>
          <w:sz w:val="32"/>
          <w:szCs w:val="32"/>
        </w:rPr>
      </w:pPr>
      <w:r>
        <w:rPr>
          <w:rFonts w:hint="eastAsia" w:ascii="仿宋" w:hAnsi="仿宋" w:eastAsia="仿宋" w:cs="仿宋"/>
          <w:sz w:val="32"/>
          <w:szCs w:val="32"/>
        </w:rPr>
        <w:drawing>
          <wp:inline distT="0" distB="0" distL="0" distR="0">
            <wp:extent cx="5270500" cy="2233930"/>
            <wp:effectExtent l="0" t="0" r="6350" b="1397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5270500" cy="2233930"/>
                    </a:xfrm>
                    <a:prstGeom prst="rect">
                      <a:avLst/>
                    </a:prstGeom>
                    <a:noFill/>
                    <a:ln>
                      <a:noFill/>
                    </a:ln>
                  </pic:spPr>
                </pic:pic>
              </a:graphicData>
            </a:graphic>
          </wp:inline>
        </w:drawing>
      </w:r>
    </w:p>
    <w:p w14:paraId="467836DF">
      <w:pPr>
        <w:ind w:firstLine="640" w:firstLineChars="200"/>
        <w:rPr>
          <w:rFonts w:ascii="仿宋" w:hAnsi="仿宋" w:eastAsia="仿宋" w:cs="仿宋"/>
          <w:sz w:val="32"/>
          <w:szCs w:val="32"/>
        </w:rPr>
      </w:pPr>
      <w:r>
        <w:rPr>
          <w:rFonts w:hint="eastAsia" w:ascii="仿宋" w:hAnsi="仿宋" w:eastAsia="仿宋" w:cs="仿宋"/>
          <w:sz w:val="32"/>
          <w:szCs w:val="32"/>
        </w:rPr>
        <w:drawing>
          <wp:inline distT="0" distB="0" distL="0" distR="0">
            <wp:extent cx="5262245" cy="2165350"/>
            <wp:effectExtent l="0" t="0" r="14605" b="635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5262245" cy="2165350"/>
                    </a:xfrm>
                    <a:prstGeom prst="rect">
                      <a:avLst/>
                    </a:prstGeom>
                    <a:noFill/>
                    <a:ln>
                      <a:noFill/>
                    </a:ln>
                  </pic:spPr>
                </pic:pic>
              </a:graphicData>
            </a:graphic>
          </wp:inline>
        </w:drawing>
      </w:r>
    </w:p>
    <w:p w14:paraId="2BBE5374">
      <w:pPr>
        <w:pStyle w:val="4"/>
        <w:bidi w:val="0"/>
      </w:pPr>
      <w:r>
        <w:rPr>
          <w:rFonts w:hint="eastAsia"/>
        </w:rPr>
        <w:t>票据销毁</w:t>
      </w:r>
      <w:bookmarkEnd w:id="8"/>
    </w:p>
    <w:p w14:paraId="7A12DA11">
      <w:pPr>
        <w:pStyle w:val="19"/>
        <w:ind w:firstLine="640"/>
        <w:rPr>
          <w:rFonts w:ascii="仿宋" w:hAnsi="仿宋" w:eastAsia="仿宋" w:cs="仿宋"/>
          <w:sz w:val="32"/>
          <w:szCs w:val="32"/>
        </w:rPr>
      </w:pPr>
      <w:r>
        <w:rPr>
          <w:rFonts w:hint="eastAsia" w:ascii="仿宋" w:hAnsi="仿宋" w:eastAsia="仿宋" w:cs="仿宋"/>
          <w:sz w:val="32"/>
          <w:szCs w:val="32"/>
        </w:rPr>
        <w:t>原在非税系统中进行，现在票据系统中进行申请。</w:t>
      </w:r>
    </w:p>
    <w:p w14:paraId="1DCF94DF">
      <w:pPr>
        <w:pStyle w:val="19"/>
        <w:ind w:firstLine="640"/>
        <w:rPr>
          <w:rFonts w:ascii="仿宋" w:hAnsi="仿宋" w:eastAsia="仿宋" w:cs="仿宋"/>
          <w:color w:val="FF0000"/>
          <w:sz w:val="32"/>
          <w:szCs w:val="32"/>
        </w:rPr>
      </w:pPr>
      <w:r>
        <w:rPr>
          <w:rFonts w:hint="eastAsia" w:ascii="仿宋" w:hAnsi="仿宋" w:eastAsia="仿宋" w:cs="仿宋"/>
          <w:sz w:val="32"/>
          <w:szCs w:val="32"/>
        </w:rPr>
        <w:t>原流程：</w:t>
      </w:r>
    </w:p>
    <w:p w14:paraId="71D65A63">
      <w:pPr>
        <w:pStyle w:val="19"/>
        <w:ind w:firstLine="640"/>
        <w:rPr>
          <w:rFonts w:ascii="仿宋" w:hAnsi="仿宋" w:eastAsia="仿宋" w:cs="仿宋"/>
          <w:sz w:val="32"/>
          <w:szCs w:val="32"/>
        </w:rPr>
      </w:pPr>
      <w:r>
        <w:rPr>
          <w:rFonts w:hint="eastAsia" w:ascii="仿宋" w:hAnsi="仿宋" w:eastAsia="仿宋" w:cs="仿宋"/>
          <w:sz w:val="32"/>
          <w:szCs w:val="32"/>
        </w:rPr>
        <w:t xml:space="preserve">北京市财政人员在非税系统的票据日常业务-票据销毁菜单下，新增票据销毁记录，核对信息无误后，选中销毁记录，对票据进行销毁，销毁后，票据库存中减少销毁票据。 </w:t>
      </w:r>
    </w:p>
    <w:p w14:paraId="6E27847A">
      <w:pPr>
        <w:pStyle w:val="19"/>
        <w:ind w:firstLine="640"/>
        <w:rPr>
          <w:rFonts w:ascii="仿宋" w:hAnsi="仿宋" w:eastAsia="仿宋" w:cs="仿宋"/>
          <w:sz w:val="32"/>
          <w:szCs w:val="32"/>
        </w:rPr>
      </w:pPr>
      <w:r>
        <w:rPr>
          <w:rFonts w:hint="eastAsia" w:ascii="仿宋" w:hAnsi="仿宋" w:eastAsia="仿宋" w:cs="仿宋"/>
          <w:sz w:val="32"/>
          <w:szCs w:val="32"/>
        </w:rPr>
        <w:t>现流程：</w:t>
      </w:r>
    </w:p>
    <w:p w14:paraId="381F88FB">
      <w:pPr>
        <w:pStyle w:val="19"/>
        <w:ind w:firstLine="640"/>
        <w:rPr>
          <w:rFonts w:ascii="仿宋" w:hAnsi="仿宋" w:eastAsia="仿宋" w:cs="仿宋"/>
          <w:sz w:val="32"/>
          <w:szCs w:val="32"/>
        </w:rPr>
      </w:pPr>
      <w:r>
        <w:rPr>
          <w:rFonts w:hint="eastAsia" w:ascii="仿宋" w:hAnsi="仿宋" w:eastAsia="仿宋" w:cs="仿宋"/>
          <w:sz w:val="32"/>
          <w:szCs w:val="32"/>
        </w:rPr>
        <w:t>输入用户名及密码——登陆财政票据电子化管理系统</w:t>
      </w:r>
    </w:p>
    <w:p w14:paraId="7A3D3F7E">
      <w:pPr>
        <w:pStyle w:val="19"/>
        <w:ind w:firstLine="640"/>
        <w:rPr>
          <w:rFonts w:ascii="仿宋" w:hAnsi="仿宋" w:eastAsia="仿宋" w:cs="仿宋"/>
          <w:sz w:val="32"/>
          <w:szCs w:val="32"/>
        </w:rPr>
      </w:pPr>
      <w:r>
        <w:rPr>
          <w:rFonts w:hint="eastAsia" w:ascii="仿宋" w:hAnsi="仿宋" w:eastAsia="仿宋" w:cs="仿宋"/>
          <w:sz w:val="32"/>
          <w:szCs w:val="32"/>
        </w:rPr>
        <w:drawing>
          <wp:inline distT="0" distB="0" distL="0" distR="0">
            <wp:extent cx="5270500" cy="1638935"/>
            <wp:effectExtent l="0" t="0" r="6350" b="1841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270500" cy="1638935"/>
                    </a:xfrm>
                    <a:prstGeom prst="rect">
                      <a:avLst/>
                    </a:prstGeom>
                    <a:noFill/>
                    <a:ln>
                      <a:noFill/>
                    </a:ln>
                  </pic:spPr>
                </pic:pic>
              </a:graphicData>
            </a:graphic>
          </wp:inline>
        </w:drawing>
      </w:r>
    </w:p>
    <w:p w14:paraId="10AC1F77">
      <w:pPr>
        <w:pStyle w:val="19"/>
        <w:ind w:firstLine="640"/>
        <w:rPr>
          <w:rFonts w:ascii="仿宋" w:hAnsi="仿宋" w:eastAsia="仿宋" w:cs="仿宋"/>
          <w:sz w:val="32"/>
          <w:szCs w:val="32"/>
        </w:rPr>
      </w:pPr>
      <w:r>
        <w:rPr>
          <w:rFonts w:hint="eastAsia" w:ascii="仿宋" w:hAnsi="仿宋" w:eastAsia="仿宋" w:cs="仿宋"/>
          <w:sz w:val="32"/>
          <w:szCs w:val="32"/>
        </w:rPr>
        <w:t>依次点击票据管理——票据销毁申请——新增——双击“查询可销毁票据”——双击查询的记录——自动填充票据信息——保存——上报</w:t>
      </w:r>
    </w:p>
    <w:p w14:paraId="639D3448">
      <w:pPr>
        <w:pStyle w:val="19"/>
        <w:ind w:firstLine="640"/>
        <w:rPr>
          <w:rFonts w:ascii="仿宋" w:hAnsi="仿宋" w:eastAsia="仿宋" w:cs="仿宋"/>
          <w:sz w:val="32"/>
          <w:szCs w:val="32"/>
        </w:rPr>
      </w:pPr>
      <w:r>
        <w:rPr>
          <w:rFonts w:hint="eastAsia" w:ascii="仿宋" w:hAnsi="仿宋" w:eastAsia="仿宋" w:cs="仿宋"/>
          <w:sz w:val="32"/>
          <w:szCs w:val="32"/>
        </w:rPr>
        <w:drawing>
          <wp:inline distT="0" distB="0" distL="0" distR="0">
            <wp:extent cx="5270500" cy="1975485"/>
            <wp:effectExtent l="0" t="0" r="6350" b="571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a:xfrm>
                      <a:off x="0" y="0"/>
                      <a:ext cx="5270500" cy="1975485"/>
                    </a:xfrm>
                    <a:prstGeom prst="rect">
                      <a:avLst/>
                    </a:prstGeom>
                    <a:noFill/>
                    <a:ln>
                      <a:noFill/>
                    </a:ln>
                  </pic:spPr>
                </pic:pic>
              </a:graphicData>
            </a:graphic>
          </wp:inline>
        </w:drawing>
      </w:r>
    </w:p>
    <w:p w14:paraId="189F6651">
      <w:pPr>
        <w:pStyle w:val="19"/>
        <w:ind w:firstLine="640"/>
        <w:rPr>
          <w:rFonts w:ascii="仿宋" w:hAnsi="仿宋" w:eastAsia="仿宋" w:cs="仿宋"/>
          <w:sz w:val="32"/>
          <w:szCs w:val="32"/>
        </w:rPr>
      </w:pPr>
      <w:r>
        <w:rPr>
          <w:rFonts w:hint="eastAsia" w:ascii="仿宋" w:hAnsi="仿宋" w:eastAsia="仿宋" w:cs="仿宋"/>
          <w:sz w:val="32"/>
          <w:szCs w:val="32"/>
        </w:rPr>
        <w:drawing>
          <wp:inline distT="0" distB="0" distL="0" distR="0">
            <wp:extent cx="5270500" cy="2449830"/>
            <wp:effectExtent l="0" t="0" r="6350" b="762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5270500" cy="2449830"/>
                    </a:xfrm>
                    <a:prstGeom prst="rect">
                      <a:avLst/>
                    </a:prstGeom>
                    <a:noFill/>
                    <a:ln>
                      <a:noFill/>
                    </a:ln>
                  </pic:spPr>
                </pic:pic>
              </a:graphicData>
            </a:graphic>
          </wp:inline>
        </w:drawing>
      </w:r>
    </w:p>
    <w:p w14:paraId="22D448EB">
      <w:pPr>
        <w:pStyle w:val="19"/>
        <w:ind w:firstLine="640"/>
        <w:rPr>
          <w:rFonts w:ascii="仿宋" w:hAnsi="仿宋" w:eastAsia="仿宋" w:cs="仿宋"/>
          <w:sz w:val="32"/>
          <w:szCs w:val="32"/>
        </w:rPr>
      </w:pPr>
      <w:r>
        <w:rPr>
          <w:rFonts w:hint="eastAsia" w:ascii="仿宋" w:hAnsi="仿宋" w:eastAsia="仿宋" w:cs="仿宋"/>
          <w:sz w:val="32"/>
          <w:szCs w:val="32"/>
        </w:rPr>
        <w:drawing>
          <wp:inline distT="0" distB="0" distL="0" distR="0">
            <wp:extent cx="5270500" cy="2673985"/>
            <wp:effectExtent l="0" t="0" r="6350" b="1206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5270500" cy="2673985"/>
                    </a:xfrm>
                    <a:prstGeom prst="rect">
                      <a:avLst/>
                    </a:prstGeom>
                    <a:noFill/>
                    <a:ln>
                      <a:noFill/>
                    </a:ln>
                  </pic:spPr>
                </pic:pic>
              </a:graphicData>
            </a:graphic>
          </wp:inline>
        </w:drawing>
      </w:r>
    </w:p>
    <w:p w14:paraId="464F7AED">
      <w:pPr>
        <w:pStyle w:val="19"/>
        <w:ind w:left="559" w:leftChars="266" w:firstLine="0" w:firstLineChars="0"/>
        <w:rPr>
          <w:rFonts w:ascii="仿宋" w:hAnsi="仿宋" w:eastAsia="仿宋" w:cs="仿宋"/>
          <w:sz w:val="32"/>
          <w:szCs w:val="32"/>
        </w:rPr>
      </w:pPr>
      <w:r>
        <w:rPr>
          <w:rFonts w:hint="eastAsia" w:ascii="仿宋" w:hAnsi="仿宋" w:eastAsia="仿宋" w:cs="仿宋"/>
          <w:sz w:val="32"/>
          <w:szCs w:val="32"/>
        </w:rPr>
        <w:drawing>
          <wp:inline distT="0" distB="0" distL="0" distR="0">
            <wp:extent cx="5270500" cy="2286000"/>
            <wp:effectExtent l="0" t="0" r="635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a:xfrm>
                      <a:off x="0" y="0"/>
                      <a:ext cx="5270500" cy="2286000"/>
                    </a:xfrm>
                    <a:prstGeom prst="rect">
                      <a:avLst/>
                    </a:prstGeom>
                    <a:noFill/>
                    <a:ln>
                      <a:noFill/>
                    </a:ln>
                  </pic:spPr>
                </pic:pic>
              </a:graphicData>
            </a:graphic>
          </wp:inline>
        </w:drawing>
      </w:r>
      <w:r>
        <w:rPr>
          <w:rFonts w:hint="eastAsia" w:ascii="仿宋" w:hAnsi="仿宋" w:eastAsia="仿宋" w:cs="仿宋"/>
          <w:sz w:val="32"/>
          <w:szCs w:val="32"/>
        </w:rPr>
        <w:t>双击查询出来的记录，自动填充票据信息</w:t>
      </w:r>
    </w:p>
    <w:p w14:paraId="5A4822C6">
      <w:pPr>
        <w:pStyle w:val="19"/>
        <w:ind w:firstLine="640"/>
        <w:rPr>
          <w:rFonts w:ascii="仿宋" w:hAnsi="仿宋" w:eastAsia="仿宋" w:cs="仿宋"/>
          <w:sz w:val="32"/>
          <w:szCs w:val="32"/>
        </w:rPr>
      </w:pPr>
      <w:r>
        <w:rPr>
          <w:rFonts w:hint="eastAsia" w:ascii="仿宋" w:hAnsi="仿宋" w:eastAsia="仿宋" w:cs="仿宋"/>
          <w:sz w:val="32"/>
          <w:szCs w:val="32"/>
        </w:rPr>
        <w:drawing>
          <wp:inline distT="0" distB="0" distL="0" distR="0">
            <wp:extent cx="5270500" cy="2536190"/>
            <wp:effectExtent l="0" t="0" r="6350" b="1651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5270500" cy="2536190"/>
                    </a:xfrm>
                    <a:prstGeom prst="rect">
                      <a:avLst/>
                    </a:prstGeom>
                    <a:noFill/>
                    <a:ln>
                      <a:noFill/>
                    </a:ln>
                  </pic:spPr>
                </pic:pic>
              </a:graphicData>
            </a:graphic>
          </wp:inline>
        </w:drawing>
      </w:r>
    </w:p>
    <w:p w14:paraId="14B0F61F">
      <w:pPr>
        <w:pStyle w:val="19"/>
        <w:ind w:left="360" w:firstLine="640"/>
        <w:rPr>
          <w:rFonts w:ascii="仿宋" w:hAnsi="仿宋" w:eastAsia="仿宋" w:cs="仿宋"/>
          <w:sz w:val="32"/>
          <w:szCs w:val="32"/>
        </w:rPr>
      </w:pPr>
    </w:p>
    <w:p w14:paraId="2EBBEC9B">
      <w:pPr>
        <w:pStyle w:val="19"/>
        <w:ind w:firstLine="640"/>
        <w:rPr>
          <w:rFonts w:ascii="仿宋" w:hAnsi="仿宋" w:eastAsia="仿宋" w:cs="仿宋"/>
          <w:sz w:val="32"/>
          <w:szCs w:val="32"/>
        </w:rPr>
      </w:pPr>
      <w:r>
        <w:rPr>
          <w:rFonts w:hint="eastAsia" w:ascii="仿宋" w:hAnsi="仿宋" w:eastAsia="仿宋" w:cs="仿宋"/>
          <w:sz w:val="32"/>
          <w:szCs w:val="32"/>
        </w:rPr>
        <w:drawing>
          <wp:inline distT="0" distB="0" distL="0" distR="0">
            <wp:extent cx="5270500" cy="2312035"/>
            <wp:effectExtent l="0" t="0" r="6350" b="1206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a:xfrm>
                      <a:off x="0" y="0"/>
                      <a:ext cx="5270500" cy="2312035"/>
                    </a:xfrm>
                    <a:prstGeom prst="rect">
                      <a:avLst/>
                    </a:prstGeom>
                    <a:noFill/>
                    <a:ln>
                      <a:noFill/>
                    </a:ln>
                  </pic:spPr>
                </pic:pic>
              </a:graphicData>
            </a:graphic>
          </wp:inline>
        </w:drawing>
      </w:r>
    </w:p>
    <w:p w14:paraId="0C1D9CC5"/>
    <w:sectPr>
      <w:pgSz w:w="11906" w:h="16838"/>
      <w:pgMar w:top="590" w:right="1066" w:bottom="816" w:left="1009"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041C202"/>
    <w:multiLevelType w:val="singleLevel"/>
    <w:tmpl w:val="A041C202"/>
    <w:lvl w:ilvl="0" w:tentative="0">
      <w:start w:val="1"/>
      <w:numFmt w:val="bullet"/>
      <w:lvlText w:val=""/>
      <w:lvlJc w:val="left"/>
      <w:pPr>
        <w:ind w:left="1470" w:hanging="420"/>
      </w:pPr>
      <w:rPr>
        <w:rFonts w:hint="default" w:ascii="Wingdings" w:hAnsi="Wingdings"/>
      </w:rPr>
    </w:lvl>
  </w:abstractNum>
  <w:abstractNum w:abstractNumId="1">
    <w:nsid w:val="BCE9CAB6"/>
    <w:multiLevelType w:val="singleLevel"/>
    <w:tmpl w:val="BCE9CAB6"/>
    <w:lvl w:ilvl="0" w:tentative="0">
      <w:start w:val="1"/>
      <w:numFmt w:val="bullet"/>
      <w:lvlText w:val=""/>
      <w:lvlJc w:val="left"/>
      <w:pPr>
        <w:ind w:left="420" w:hanging="420"/>
      </w:pPr>
      <w:rPr>
        <w:rFonts w:hint="default" w:ascii="Wingdings" w:hAnsi="Wingdings"/>
      </w:rPr>
    </w:lvl>
  </w:abstractNum>
  <w:abstractNum w:abstractNumId="2">
    <w:nsid w:val="1C7FC69E"/>
    <w:multiLevelType w:val="multilevel"/>
    <w:tmpl w:val="1C7FC69E"/>
    <w:lvl w:ilvl="0" w:tentative="0">
      <w:start w:val="1"/>
      <w:numFmt w:val="chineseCounting"/>
      <w:pStyle w:val="2"/>
      <w:suff w:val="nothing"/>
      <w:lvlText w:val="%1、"/>
      <w:lvlJc w:val="left"/>
      <w:pPr>
        <w:ind w:left="0" w:firstLine="0"/>
      </w:pPr>
      <w:rPr>
        <w:rFonts w:hint="eastAsia"/>
      </w:rPr>
    </w:lvl>
    <w:lvl w:ilvl="1" w:tentative="0">
      <w:start w:val="1"/>
      <w:numFmt w:val="chineseCounting"/>
      <w:pStyle w:val="3"/>
      <w:suff w:val="nothing"/>
      <w:lvlText w:val="（%2）"/>
      <w:lvlJc w:val="left"/>
      <w:pPr>
        <w:ind w:left="0" w:firstLine="0"/>
      </w:pPr>
      <w:rPr>
        <w:rFonts w:hint="eastAsia"/>
      </w:rPr>
    </w:lvl>
    <w:lvl w:ilvl="2" w:tentative="0">
      <w:start w:val="1"/>
      <w:numFmt w:val="decimal"/>
      <w:pStyle w:val="4"/>
      <w:suff w:val="nothing"/>
      <w:lvlText w:val="%3．"/>
      <w:lvlJc w:val="left"/>
      <w:pPr>
        <w:ind w:left="0" w:firstLine="400"/>
      </w:pPr>
      <w:rPr>
        <w:rFonts w:hint="eastAsia"/>
      </w:rPr>
    </w:lvl>
    <w:lvl w:ilvl="3" w:tentative="0">
      <w:start w:val="1"/>
      <w:numFmt w:val="decimal"/>
      <w:pStyle w:val="5"/>
      <w:suff w:val="nothing"/>
      <w:lvlText w:val="（%4）"/>
      <w:lvlJc w:val="left"/>
      <w:pPr>
        <w:ind w:left="0" w:firstLine="402"/>
      </w:pPr>
      <w:rPr>
        <w:rFonts w:hint="eastAsia"/>
      </w:rPr>
    </w:lvl>
    <w:lvl w:ilvl="4" w:tentative="0">
      <w:start w:val="1"/>
      <w:numFmt w:val="decimalEnclosedCircleChinese"/>
      <w:pStyle w:val="6"/>
      <w:suff w:val="nothing"/>
      <w:lvlText w:val="%5"/>
      <w:lvlJc w:val="left"/>
      <w:pPr>
        <w:ind w:left="0" w:firstLine="402"/>
      </w:pPr>
      <w:rPr>
        <w:rFonts w:hint="eastAsia"/>
      </w:rPr>
    </w:lvl>
    <w:lvl w:ilvl="5" w:tentative="0">
      <w:start w:val="1"/>
      <w:numFmt w:val="decimal"/>
      <w:pStyle w:val="7"/>
      <w:suff w:val="nothing"/>
      <w:lvlText w:val="%6）"/>
      <w:lvlJc w:val="left"/>
      <w:pPr>
        <w:ind w:left="0" w:firstLine="402"/>
      </w:pPr>
      <w:rPr>
        <w:rFonts w:hint="eastAsia"/>
      </w:rPr>
    </w:lvl>
    <w:lvl w:ilvl="6" w:tentative="0">
      <w:start w:val="1"/>
      <w:numFmt w:val="lowerLetter"/>
      <w:pStyle w:val="8"/>
      <w:suff w:val="nothing"/>
      <w:lvlText w:val="%7．"/>
      <w:lvlJc w:val="left"/>
      <w:pPr>
        <w:ind w:left="0" w:firstLine="402"/>
      </w:pPr>
      <w:rPr>
        <w:rFonts w:hint="eastAsia"/>
      </w:rPr>
    </w:lvl>
    <w:lvl w:ilvl="7" w:tentative="0">
      <w:start w:val="1"/>
      <w:numFmt w:val="lowerLetter"/>
      <w:pStyle w:val="9"/>
      <w:suff w:val="nothing"/>
      <w:lvlText w:val="%8）"/>
      <w:lvlJc w:val="left"/>
      <w:pPr>
        <w:ind w:left="0" w:firstLine="402"/>
      </w:pPr>
      <w:rPr>
        <w:rFonts w:hint="eastAsia"/>
      </w:rPr>
    </w:lvl>
    <w:lvl w:ilvl="8" w:tentative="0">
      <w:start w:val="1"/>
      <w:numFmt w:val="lowerRoman"/>
      <w:pStyle w:val="10"/>
      <w:suff w:val="nothing"/>
      <w:lvlText w:val="%9 "/>
      <w:lvlJc w:val="left"/>
      <w:pPr>
        <w:ind w:left="0" w:firstLine="402"/>
      </w:pPr>
      <w:rPr>
        <w:rFonts w:hint="eastAsia"/>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mFiM2NhM2MzZDk3NzQ4ZWFmYjYwOWZlOTNlNWViZGYifQ=="/>
  </w:docVars>
  <w:rsids>
    <w:rsidRoot w:val="4081566E"/>
    <w:rsid w:val="001B4051"/>
    <w:rsid w:val="00282C0B"/>
    <w:rsid w:val="003D1E61"/>
    <w:rsid w:val="0099456F"/>
    <w:rsid w:val="00BB25E1"/>
    <w:rsid w:val="014772FD"/>
    <w:rsid w:val="01AA280B"/>
    <w:rsid w:val="01D90780"/>
    <w:rsid w:val="01E25C15"/>
    <w:rsid w:val="02567921"/>
    <w:rsid w:val="049374B6"/>
    <w:rsid w:val="04B81E72"/>
    <w:rsid w:val="04C95643"/>
    <w:rsid w:val="04F02AF3"/>
    <w:rsid w:val="05013D99"/>
    <w:rsid w:val="05197AE0"/>
    <w:rsid w:val="052D7619"/>
    <w:rsid w:val="054B7041"/>
    <w:rsid w:val="05BD3A9B"/>
    <w:rsid w:val="05CB7195"/>
    <w:rsid w:val="05F824C6"/>
    <w:rsid w:val="069A59C1"/>
    <w:rsid w:val="069D49F6"/>
    <w:rsid w:val="07140928"/>
    <w:rsid w:val="07A748B8"/>
    <w:rsid w:val="07C97B4F"/>
    <w:rsid w:val="07D767DD"/>
    <w:rsid w:val="08A25C65"/>
    <w:rsid w:val="08C374BE"/>
    <w:rsid w:val="08DC304A"/>
    <w:rsid w:val="09424D29"/>
    <w:rsid w:val="09674D97"/>
    <w:rsid w:val="096C18C2"/>
    <w:rsid w:val="09A10D7E"/>
    <w:rsid w:val="09D5023F"/>
    <w:rsid w:val="09FD74CB"/>
    <w:rsid w:val="0AA61FF6"/>
    <w:rsid w:val="0ABE71FB"/>
    <w:rsid w:val="0B1C536D"/>
    <w:rsid w:val="0B2138E2"/>
    <w:rsid w:val="0B64404F"/>
    <w:rsid w:val="0C126F05"/>
    <w:rsid w:val="0C596448"/>
    <w:rsid w:val="0C6D288D"/>
    <w:rsid w:val="0C85001F"/>
    <w:rsid w:val="0CD62DB5"/>
    <w:rsid w:val="0CF45588"/>
    <w:rsid w:val="0D125B64"/>
    <w:rsid w:val="0D4B63AA"/>
    <w:rsid w:val="0DA8599F"/>
    <w:rsid w:val="0E0A274B"/>
    <w:rsid w:val="0E1A087A"/>
    <w:rsid w:val="0E4432B3"/>
    <w:rsid w:val="0E7F259A"/>
    <w:rsid w:val="0EF977C3"/>
    <w:rsid w:val="0F8476BA"/>
    <w:rsid w:val="10354665"/>
    <w:rsid w:val="10E33AE6"/>
    <w:rsid w:val="11A47242"/>
    <w:rsid w:val="12011CBA"/>
    <w:rsid w:val="12A33DF2"/>
    <w:rsid w:val="130931C2"/>
    <w:rsid w:val="13E80FF6"/>
    <w:rsid w:val="14B81A39"/>
    <w:rsid w:val="14DE415D"/>
    <w:rsid w:val="166654BD"/>
    <w:rsid w:val="1676298E"/>
    <w:rsid w:val="16CC1A9E"/>
    <w:rsid w:val="16DF37CE"/>
    <w:rsid w:val="16FF72B4"/>
    <w:rsid w:val="172B723D"/>
    <w:rsid w:val="17566D0A"/>
    <w:rsid w:val="17883884"/>
    <w:rsid w:val="17887F1A"/>
    <w:rsid w:val="17A31FD6"/>
    <w:rsid w:val="191F58CF"/>
    <w:rsid w:val="197A11EE"/>
    <w:rsid w:val="197B7ED9"/>
    <w:rsid w:val="199E4DE2"/>
    <w:rsid w:val="1A3B7F32"/>
    <w:rsid w:val="1A5C594A"/>
    <w:rsid w:val="1A9B07C5"/>
    <w:rsid w:val="1AE7536A"/>
    <w:rsid w:val="1B417FFB"/>
    <w:rsid w:val="1B676B0A"/>
    <w:rsid w:val="1B7C0ED3"/>
    <w:rsid w:val="1BA3138F"/>
    <w:rsid w:val="1C567F26"/>
    <w:rsid w:val="1CCA5E62"/>
    <w:rsid w:val="1CE26BFC"/>
    <w:rsid w:val="1D453AE4"/>
    <w:rsid w:val="1D597671"/>
    <w:rsid w:val="1DDE3F4C"/>
    <w:rsid w:val="1DE83C3F"/>
    <w:rsid w:val="1E4B1D96"/>
    <w:rsid w:val="1F035AB3"/>
    <w:rsid w:val="1F710E9C"/>
    <w:rsid w:val="205B2F4C"/>
    <w:rsid w:val="20BC57D3"/>
    <w:rsid w:val="20C57ED6"/>
    <w:rsid w:val="219743EF"/>
    <w:rsid w:val="21FB324B"/>
    <w:rsid w:val="22736E64"/>
    <w:rsid w:val="22AE5FCA"/>
    <w:rsid w:val="22EB613D"/>
    <w:rsid w:val="23AE535E"/>
    <w:rsid w:val="23CF008E"/>
    <w:rsid w:val="23DC12EB"/>
    <w:rsid w:val="24400A45"/>
    <w:rsid w:val="24564B5B"/>
    <w:rsid w:val="247F17D6"/>
    <w:rsid w:val="24FB1264"/>
    <w:rsid w:val="251F5BED"/>
    <w:rsid w:val="253F7911"/>
    <w:rsid w:val="25431442"/>
    <w:rsid w:val="25606525"/>
    <w:rsid w:val="25777524"/>
    <w:rsid w:val="25E52CAF"/>
    <w:rsid w:val="262D172E"/>
    <w:rsid w:val="2681122B"/>
    <w:rsid w:val="26BA5FE7"/>
    <w:rsid w:val="26F6739C"/>
    <w:rsid w:val="2885668A"/>
    <w:rsid w:val="28B744BB"/>
    <w:rsid w:val="294C0A15"/>
    <w:rsid w:val="29671DEA"/>
    <w:rsid w:val="29CC7BAB"/>
    <w:rsid w:val="29D25325"/>
    <w:rsid w:val="2A0D097C"/>
    <w:rsid w:val="2A646C4C"/>
    <w:rsid w:val="2A7341EF"/>
    <w:rsid w:val="2B2D70B7"/>
    <w:rsid w:val="2B5D4E60"/>
    <w:rsid w:val="2B8F1A39"/>
    <w:rsid w:val="2C626B47"/>
    <w:rsid w:val="2C7F6A43"/>
    <w:rsid w:val="2CC91590"/>
    <w:rsid w:val="2D3D02D7"/>
    <w:rsid w:val="2D5562BD"/>
    <w:rsid w:val="2D8B3530"/>
    <w:rsid w:val="2DE92AB1"/>
    <w:rsid w:val="2DEF7C0E"/>
    <w:rsid w:val="2E1E4025"/>
    <w:rsid w:val="2EB81153"/>
    <w:rsid w:val="2EEB30EE"/>
    <w:rsid w:val="2F0A5E01"/>
    <w:rsid w:val="2F3236A1"/>
    <w:rsid w:val="2F5D21DB"/>
    <w:rsid w:val="2F666574"/>
    <w:rsid w:val="2F931401"/>
    <w:rsid w:val="301803DA"/>
    <w:rsid w:val="304253DA"/>
    <w:rsid w:val="304445AB"/>
    <w:rsid w:val="308F4501"/>
    <w:rsid w:val="309950C7"/>
    <w:rsid w:val="30BE049A"/>
    <w:rsid w:val="31714993"/>
    <w:rsid w:val="32337463"/>
    <w:rsid w:val="323C579B"/>
    <w:rsid w:val="324C469D"/>
    <w:rsid w:val="32820335"/>
    <w:rsid w:val="32953D53"/>
    <w:rsid w:val="32B73E7C"/>
    <w:rsid w:val="33525FDD"/>
    <w:rsid w:val="34040E0F"/>
    <w:rsid w:val="34212F98"/>
    <w:rsid w:val="345F5972"/>
    <w:rsid w:val="34E03AD2"/>
    <w:rsid w:val="35416AF5"/>
    <w:rsid w:val="358610DB"/>
    <w:rsid w:val="35C87A29"/>
    <w:rsid w:val="35FD2A39"/>
    <w:rsid w:val="364E3AC2"/>
    <w:rsid w:val="365005A6"/>
    <w:rsid w:val="365C5BC3"/>
    <w:rsid w:val="371F1FE6"/>
    <w:rsid w:val="376557B9"/>
    <w:rsid w:val="386A5A7F"/>
    <w:rsid w:val="38711BF1"/>
    <w:rsid w:val="38C85C04"/>
    <w:rsid w:val="38DC5B5B"/>
    <w:rsid w:val="39612DE6"/>
    <w:rsid w:val="39A3140D"/>
    <w:rsid w:val="39E52FDE"/>
    <w:rsid w:val="3A064936"/>
    <w:rsid w:val="3A12722E"/>
    <w:rsid w:val="3A1A1019"/>
    <w:rsid w:val="3A532A09"/>
    <w:rsid w:val="3A72653A"/>
    <w:rsid w:val="3AC23F8B"/>
    <w:rsid w:val="3B724B50"/>
    <w:rsid w:val="3B8824F0"/>
    <w:rsid w:val="3C2C5DD5"/>
    <w:rsid w:val="3C6B50CE"/>
    <w:rsid w:val="3CD95E76"/>
    <w:rsid w:val="3CDB0B5B"/>
    <w:rsid w:val="3DCD0B78"/>
    <w:rsid w:val="3E4A7061"/>
    <w:rsid w:val="3E687A33"/>
    <w:rsid w:val="3ECA1168"/>
    <w:rsid w:val="3FA4438B"/>
    <w:rsid w:val="3FDA1F2A"/>
    <w:rsid w:val="40015E65"/>
    <w:rsid w:val="40537C22"/>
    <w:rsid w:val="40752FC1"/>
    <w:rsid w:val="4081566E"/>
    <w:rsid w:val="408841E8"/>
    <w:rsid w:val="41B85605"/>
    <w:rsid w:val="41E87A98"/>
    <w:rsid w:val="42013B5D"/>
    <w:rsid w:val="420D7975"/>
    <w:rsid w:val="42421142"/>
    <w:rsid w:val="426D6F3B"/>
    <w:rsid w:val="428F55A0"/>
    <w:rsid w:val="42C31B0C"/>
    <w:rsid w:val="42D8039A"/>
    <w:rsid w:val="42DF7CB1"/>
    <w:rsid w:val="430B3FB1"/>
    <w:rsid w:val="434301B9"/>
    <w:rsid w:val="43455A77"/>
    <w:rsid w:val="43467B7B"/>
    <w:rsid w:val="43601B55"/>
    <w:rsid w:val="436030E5"/>
    <w:rsid w:val="43BA1C51"/>
    <w:rsid w:val="43D31B69"/>
    <w:rsid w:val="43DC2908"/>
    <w:rsid w:val="44073DFF"/>
    <w:rsid w:val="440E48D5"/>
    <w:rsid w:val="44304157"/>
    <w:rsid w:val="444727FC"/>
    <w:rsid w:val="444D24AF"/>
    <w:rsid w:val="44577E4E"/>
    <w:rsid w:val="4475793B"/>
    <w:rsid w:val="449C4AC5"/>
    <w:rsid w:val="44A45F68"/>
    <w:rsid w:val="45BF1D5E"/>
    <w:rsid w:val="45C65FD6"/>
    <w:rsid w:val="46784103"/>
    <w:rsid w:val="469E5B36"/>
    <w:rsid w:val="46B837F0"/>
    <w:rsid w:val="46BE0465"/>
    <w:rsid w:val="46FA724F"/>
    <w:rsid w:val="46FC691F"/>
    <w:rsid w:val="47202E44"/>
    <w:rsid w:val="47B231CB"/>
    <w:rsid w:val="48160D21"/>
    <w:rsid w:val="48342528"/>
    <w:rsid w:val="48427770"/>
    <w:rsid w:val="487326CD"/>
    <w:rsid w:val="488E0B08"/>
    <w:rsid w:val="49C5599C"/>
    <w:rsid w:val="49D551E8"/>
    <w:rsid w:val="49E36B46"/>
    <w:rsid w:val="4A165A16"/>
    <w:rsid w:val="4AA1084C"/>
    <w:rsid w:val="4B6F3C2A"/>
    <w:rsid w:val="4B855823"/>
    <w:rsid w:val="4BD571AD"/>
    <w:rsid w:val="4BDB29AE"/>
    <w:rsid w:val="4CBB7D1A"/>
    <w:rsid w:val="4CF26493"/>
    <w:rsid w:val="4D074103"/>
    <w:rsid w:val="4D5A5A19"/>
    <w:rsid w:val="4D66183E"/>
    <w:rsid w:val="4D9A4EBC"/>
    <w:rsid w:val="4DA37F36"/>
    <w:rsid w:val="4DA81103"/>
    <w:rsid w:val="4E52021E"/>
    <w:rsid w:val="4E7323AA"/>
    <w:rsid w:val="4E985175"/>
    <w:rsid w:val="4EC347D6"/>
    <w:rsid w:val="4ECF63FB"/>
    <w:rsid w:val="4EDF0BBA"/>
    <w:rsid w:val="4F4862D4"/>
    <w:rsid w:val="4FD053F8"/>
    <w:rsid w:val="50324764"/>
    <w:rsid w:val="50B93E8D"/>
    <w:rsid w:val="50D07519"/>
    <w:rsid w:val="51096627"/>
    <w:rsid w:val="51653C6D"/>
    <w:rsid w:val="52080605"/>
    <w:rsid w:val="52C7195A"/>
    <w:rsid w:val="535E0C32"/>
    <w:rsid w:val="53E132BD"/>
    <w:rsid w:val="54527BBA"/>
    <w:rsid w:val="54BA37B6"/>
    <w:rsid w:val="550A3A39"/>
    <w:rsid w:val="5512533C"/>
    <w:rsid w:val="551E3EBE"/>
    <w:rsid w:val="55345166"/>
    <w:rsid w:val="554257DF"/>
    <w:rsid w:val="55653C6C"/>
    <w:rsid w:val="55943FA5"/>
    <w:rsid w:val="55B0099B"/>
    <w:rsid w:val="55DE6034"/>
    <w:rsid w:val="5615122B"/>
    <w:rsid w:val="565850A6"/>
    <w:rsid w:val="566F3F8E"/>
    <w:rsid w:val="568238D5"/>
    <w:rsid w:val="56BF747A"/>
    <w:rsid w:val="5700794E"/>
    <w:rsid w:val="57305B20"/>
    <w:rsid w:val="57325252"/>
    <w:rsid w:val="57471460"/>
    <w:rsid w:val="57666A77"/>
    <w:rsid w:val="57CC2221"/>
    <w:rsid w:val="582B7481"/>
    <w:rsid w:val="5862336E"/>
    <w:rsid w:val="588105BE"/>
    <w:rsid w:val="58845583"/>
    <w:rsid w:val="588F1526"/>
    <w:rsid w:val="59836904"/>
    <w:rsid w:val="599B54E1"/>
    <w:rsid w:val="59FB268B"/>
    <w:rsid w:val="5A303C7C"/>
    <w:rsid w:val="5A461FFF"/>
    <w:rsid w:val="5A957AB1"/>
    <w:rsid w:val="5AA33442"/>
    <w:rsid w:val="5AC27D26"/>
    <w:rsid w:val="5AC41563"/>
    <w:rsid w:val="5B7E015E"/>
    <w:rsid w:val="5BAE2087"/>
    <w:rsid w:val="5BB22FCC"/>
    <w:rsid w:val="5C3E3DC3"/>
    <w:rsid w:val="5C6C6AA6"/>
    <w:rsid w:val="5C7C6DA8"/>
    <w:rsid w:val="5C825811"/>
    <w:rsid w:val="5E002233"/>
    <w:rsid w:val="5E0B1B88"/>
    <w:rsid w:val="5E1B7EF2"/>
    <w:rsid w:val="5E826C4F"/>
    <w:rsid w:val="5EE178C8"/>
    <w:rsid w:val="5F420C3D"/>
    <w:rsid w:val="5F4D4B51"/>
    <w:rsid w:val="5F6B17C2"/>
    <w:rsid w:val="5FD96578"/>
    <w:rsid w:val="60432562"/>
    <w:rsid w:val="60EC7CE0"/>
    <w:rsid w:val="618A16BD"/>
    <w:rsid w:val="629169EF"/>
    <w:rsid w:val="63083CAB"/>
    <w:rsid w:val="631529F1"/>
    <w:rsid w:val="64617EF5"/>
    <w:rsid w:val="64D368A9"/>
    <w:rsid w:val="64EB48CE"/>
    <w:rsid w:val="657E0CAB"/>
    <w:rsid w:val="65AE02EE"/>
    <w:rsid w:val="65D606C8"/>
    <w:rsid w:val="65F82836"/>
    <w:rsid w:val="668F5370"/>
    <w:rsid w:val="67390D2F"/>
    <w:rsid w:val="677B4692"/>
    <w:rsid w:val="67A633DB"/>
    <w:rsid w:val="67E63686"/>
    <w:rsid w:val="6823210B"/>
    <w:rsid w:val="68537689"/>
    <w:rsid w:val="68A53F93"/>
    <w:rsid w:val="68BC53A9"/>
    <w:rsid w:val="68E20BBC"/>
    <w:rsid w:val="6919526A"/>
    <w:rsid w:val="691A3BC8"/>
    <w:rsid w:val="69414134"/>
    <w:rsid w:val="694B67D6"/>
    <w:rsid w:val="697C7C13"/>
    <w:rsid w:val="69934BBA"/>
    <w:rsid w:val="6A44026A"/>
    <w:rsid w:val="6A595226"/>
    <w:rsid w:val="6A74240C"/>
    <w:rsid w:val="6B5152BB"/>
    <w:rsid w:val="6B7B3E6F"/>
    <w:rsid w:val="6C1E7283"/>
    <w:rsid w:val="6C3C1122"/>
    <w:rsid w:val="6CE168D5"/>
    <w:rsid w:val="6CF07DEA"/>
    <w:rsid w:val="6D2A6A08"/>
    <w:rsid w:val="6D3A1DD5"/>
    <w:rsid w:val="6D4D0380"/>
    <w:rsid w:val="6E47612D"/>
    <w:rsid w:val="6E804515"/>
    <w:rsid w:val="6E82790F"/>
    <w:rsid w:val="6EB7719A"/>
    <w:rsid w:val="6EDD3FC3"/>
    <w:rsid w:val="6EFA44B1"/>
    <w:rsid w:val="6F860B49"/>
    <w:rsid w:val="6FA421AC"/>
    <w:rsid w:val="6FBF2B99"/>
    <w:rsid w:val="70315909"/>
    <w:rsid w:val="70367A82"/>
    <w:rsid w:val="706D4E37"/>
    <w:rsid w:val="70AB2FCF"/>
    <w:rsid w:val="70EC1C4E"/>
    <w:rsid w:val="71357B2D"/>
    <w:rsid w:val="716D2919"/>
    <w:rsid w:val="7191363E"/>
    <w:rsid w:val="723D3B6F"/>
    <w:rsid w:val="72821DC7"/>
    <w:rsid w:val="728418AF"/>
    <w:rsid w:val="73152690"/>
    <w:rsid w:val="73655284"/>
    <w:rsid w:val="739163D3"/>
    <w:rsid w:val="73D14308"/>
    <w:rsid w:val="7408321E"/>
    <w:rsid w:val="74A74E7C"/>
    <w:rsid w:val="75366ABA"/>
    <w:rsid w:val="753D1AF3"/>
    <w:rsid w:val="75600791"/>
    <w:rsid w:val="75644EB6"/>
    <w:rsid w:val="75B30003"/>
    <w:rsid w:val="76BB60B7"/>
    <w:rsid w:val="76CE7574"/>
    <w:rsid w:val="77783BCD"/>
    <w:rsid w:val="777A5CCA"/>
    <w:rsid w:val="779F2AEF"/>
    <w:rsid w:val="77A24E72"/>
    <w:rsid w:val="77B10E49"/>
    <w:rsid w:val="77D81C02"/>
    <w:rsid w:val="781F1362"/>
    <w:rsid w:val="786119D9"/>
    <w:rsid w:val="7886010F"/>
    <w:rsid w:val="79D92994"/>
    <w:rsid w:val="7BA65F09"/>
    <w:rsid w:val="7BAC3750"/>
    <w:rsid w:val="7BB71A1A"/>
    <w:rsid w:val="7BBA6AE5"/>
    <w:rsid w:val="7BF04653"/>
    <w:rsid w:val="7BF105E5"/>
    <w:rsid w:val="7C4E05FE"/>
    <w:rsid w:val="7C6372D1"/>
    <w:rsid w:val="7C69518E"/>
    <w:rsid w:val="7CA35348"/>
    <w:rsid w:val="7CEB0491"/>
    <w:rsid w:val="7CF6530E"/>
    <w:rsid w:val="7D275990"/>
    <w:rsid w:val="7D39352F"/>
    <w:rsid w:val="7E8776C3"/>
    <w:rsid w:val="7E9A62AD"/>
    <w:rsid w:val="7EC307DC"/>
    <w:rsid w:val="7F0D3AF0"/>
    <w:rsid w:val="7F22364F"/>
    <w:rsid w:val="7F590045"/>
    <w:rsid w:val="7F854933"/>
    <w:rsid w:val="7F9C7854"/>
    <w:rsid w:val="7FB9696E"/>
    <w:rsid w:val="7FCC0B3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iPriority="39" w:semiHidden="0" w:name="toc 1"/>
    <w:lsdException w:qFormat="1" w:uiPriority="39"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numPr>
        <w:ilvl w:val="0"/>
        <w:numId w:val="1"/>
      </w:numPr>
      <w:spacing w:before="340" w:beforeLines="0" w:beforeAutospacing="0" w:after="330" w:afterLines="0" w:afterAutospacing="0" w:line="576" w:lineRule="auto"/>
      <w:outlineLvl w:val="0"/>
    </w:pPr>
    <w:rPr>
      <w:b/>
      <w:kern w:val="44"/>
      <w:sz w:val="44"/>
    </w:rPr>
  </w:style>
  <w:style w:type="paragraph" w:styleId="3">
    <w:name w:val="heading 2"/>
    <w:basedOn w:val="1"/>
    <w:next w:val="1"/>
    <w:link w:val="17"/>
    <w:unhideWhenUsed/>
    <w:qFormat/>
    <w:uiPriority w:val="0"/>
    <w:pPr>
      <w:numPr>
        <w:ilvl w:val="1"/>
        <w:numId w:val="1"/>
      </w:numPr>
      <w:spacing w:before="0" w:beforeAutospacing="1" w:after="0" w:afterAutospacing="1"/>
      <w:ind w:left="0"/>
      <w:jc w:val="left"/>
      <w:outlineLvl w:val="1"/>
    </w:pPr>
    <w:rPr>
      <w:rFonts w:hint="eastAsia" w:ascii="宋体" w:hAnsi="宋体" w:eastAsia="宋体" w:cs="宋体"/>
      <w:b/>
      <w:bCs/>
      <w:kern w:val="0"/>
      <w:sz w:val="36"/>
      <w:szCs w:val="36"/>
      <w:lang w:val="en-US" w:eastAsia="zh-CN" w:bidi="ar"/>
    </w:rPr>
  </w:style>
  <w:style w:type="paragraph" w:styleId="4">
    <w:name w:val="heading 3"/>
    <w:basedOn w:val="1"/>
    <w:next w:val="1"/>
    <w:unhideWhenUsed/>
    <w:qFormat/>
    <w:uiPriority w:val="0"/>
    <w:pPr>
      <w:numPr>
        <w:ilvl w:val="2"/>
        <w:numId w:val="1"/>
      </w:numPr>
      <w:spacing w:before="0" w:beforeAutospacing="1" w:after="0" w:afterAutospacing="1"/>
      <w:ind w:firstLine="400"/>
      <w:jc w:val="left"/>
      <w:outlineLvl w:val="2"/>
    </w:pPr>
    <w:rPr>
      <w:rFonts w:hint="eastAsia" w:ascii="宋体" w:hAnsi="宋体" w:eastAsia="宋体" w:cs="宋体"/>
      <w:b/>
      <w:bCs/>
      <w:kern w:val="0"/>
      <w:sz w:val="27"/>
      <w:szCs w:val="27"/>
      <w:lang w:val="en-US" w:eastAsia="zh-CN" w:bidi="ar"/>
    </w:rPr>
  </w:style>
  <w:style w:type="paragraph" w:styleId="5">
    <w:name w:val="heading 4"/>
    <w:basedOn w:val="1"/>
    <w:next w:val="1"/>
    <w:unhideWhenUsed/>
    <w:qFormat/>
    <w:uiPriority w:val="0"/>
    <w:pPr>
      <w:numPr>
        <w:ilvl w:val="3"/>
        <w:numId w:val="1"/>
      </w:numPr>
      <w:spacing w:before="0" w:beforeAutospacing="1" w:after="0" w:afterAutospacing="1"/>
      <w:ind w:firstLine="402"/>
      <w:jc w:val="left"/>
      <w:outlineLvl w:val="3"/>
    </w:pPr>
    <w:rPr>
      <w:rFonts w:hint="eastAsia" w:ascii="宋体" w:hAnsi="宋体" w:eastAsia="宋体" w:cs="宋体"/>
      <w:b/>
      <w:bCs/>
      <w:kern w:val="0"/>
      <w:sz w:val="24"/>
      <w:szCs w:val="24"/>
      <w:lang w:val="en-US" w:eastAsia="zh-CN" w:bidi="ar"/>
    </w:rPr>
  </w:style>
  <w:style w:type="paragraph" w:styleId="6">
    <w:name w:val="heading 5"/>
    <w:basedOn w:val="1"/>
    <w:next w:val="1"/>
    <w:semiHidden/>
    <w:unhideWhenUsed/>
    <w:qFormat/>
    <w:uiPriority w:val="0"/>
    <w:pPr>
      <w:keepNext/>
      <w:keepLines/>
      <w:numPr>
        <w:ilvl w:val="4"/>
        <w:numId w:val="1"/>
      </w:numPr>
      <w:spacing w:before="280" w:beforeLines="0" w:beforeAutospacing="0" w:after="290" w:afterLines="0" w:afterAutospacing="0" w:line="372" w:lineRule="auto"/>
      <w:ind w:firstLine="402"/>
      <w:outlineLvl w:val="4"/>
    </w:pPr>
    <w:rPr>
      <w:b/>
      <w:sz w:val="28"/>
    </w:rPr>
  </w:style>
  <w:style w:type="paragraph" w:styleId="7">
    <w:name w:val="heading 6"/>
    <w:basedOn w:val="1"/>
    <w:next w:val="1"/>
    <w:semiHidden/>
    <w:unhideWhenUsed/>
    <w:qFormat/>
    <w:uiPriority w:val="0"/>
    <w:pPr>
      <w:keepNext/>
      <w:keepLines/>
      <w:numPr>
        <w:ilvl w:val="5"/>
        <w:numId w:val="1"/>
      </w:numPr>
      <w:spacing w:before="240" w:beforeLines="0" w:beforeAutospacing="0" w:after="64" w:afterLines="0" w:afterAutospacing="0" w:line="317" w:lineRule="auto"/>
      <w:ind w:firstLine="402"/>
      <w:outlineLvl w:val="5"/>
    </w:pPr>
    <w:rPr>
      <w:rFonts w:ascii="Arial" w:hAnsi="Arial" w:eastAsia="黑体"/>
      <w:b/>
      <w:sz w:val="24"/>
    </w:rPr>
  </w:style>
  <w:style w:type="paragraph" w:styleId="8">
    <w:name w:val="heading 7"/>
    <w:basedOn w:val="1"/>
    <w:next w:val="1"/>
    <w:semiHidden/>
    <w:unhideWhenUsed/>
    <w:qFormat/>
    <w:uiPriority w:val="0"/>
    <w:pPr>
      <w:keepNext/>
      <w:keepLines/>
      <w:numPr>
        <w:ilvl w:val="6"/>
        <w:numId w:val="1"/>
      </w:numPr>
      <w:spacing w:before="240" w:beforeLines="0" w:beforeAutospacing="0" w:after="64" w:afterLines="0" w:afterAutospacing="0" w:line="317" w:lineRule="auto"/>
      <w:ind w:firstLine="402"/>
      <w:outlineLvl w:val="6"/>
    </w:pPr>
    <w:rPr>
      <w:b/>
      <w:sz w:val="24"/>
    </w:rPr>
  </w:style>
  <w:style w:type="paragraph" w:styleId="9">
    <w:name w:val="heading 8"/>
    <w:basedOn w:val="1"/>
    <w:next w:val="1"/>
    <w:semiHidden/>
    <w:unhideWhenUsed/>
    <w:qFormat/>
    <w:uiPriority w:val="0"/>
    <w:pPr>
      <w:keepNext/>
      <w:keepLines/>
      <w:numPr>
        <w:ilvl w:val="7"/>
        <w:numId w:val="1"/>
      </w:numPr>
      <w:spacing w:before="240" w:beforeLines="0" w:beforeAutospacing="0" w:after="64" w:afterLines="0" w:afterAutospacing="0" w:line="317" w:lineRule="auto"/>
      <w:ind w:firstLine="402"/>
      <w:outlineLvl w:val="7"/>
    </w:pPr>
    <w:rPr>
      <w:rFonts w:ascii="Arial" w:hAnsi="Arial" w:eastAsia="黑体"/>
      <w:sz w:val="24"/>
    </w:rPr>
  </w:style>
  <w:style w:type="paragraph" w:styleId="10">
    <w:name w:val="heading 9"/>
    <w:basedOn w:val="1"/>
    <w:next w:val="1"/>
    <w:semiHidden/>
    <w:unhideWhenUsed/>
    <w:qFormat/>
    <w:uiPriority w:val="0"/>
    <w:pPr>
      <w:keepNext/>
      <w:keepLines/>
      <w:numPr>
        <w:ilvl w:val="8"/>
        <w:numId w:val="1"/>
      </w:numPr>
      <w:spacing w:before="240" w:beforeLines="0" w:beforeAutospacing="0" w:after="64" w:afterLines="0" w:afterAutospacing="0" w:line="317" w:lineRule="auto"/>
      <w:ind w:firstLine="402"/>
      <w:outlineLvl w:val="8"/>
    </w:pPr>
    <w:rPr>
      <w:rFonts w:ascii="Arial" w:hAnsi="Arial" w:eastAsia="黑体"/>
      <w:sz w:val="21"/>
    </w:rPr>
  </w:style>
  <w:style w:type="character" w:default="1" w:styleId="15">
    <w:name w:val="Default Paragraph Font"/>
    <w:semiHidden/>
    <w:qFormat/>
    <w:uiPriority w:val="0"/>
  </w:style>
  <w:style w:type="table" w:default="1" w:styleId="14">
    <w:name w:val="Normal Table"/>
    <w:semiHidden/>
    <w:qFormat/>
    <w:uiPriority w:val="0"/>
    <w:tblPr>
      <w:tblCellMar>
        <w:top w:w="0" w:type="dxa"/>
        <w:left w:w="108" w:type="dxa"/>
        <w:bottom w:w="0" w:type="dxa"/>
        <w:right w:w="108" w:type="dxa"/>
      </w:tblCellMar>
    </w:tblPr>
  </w:style>
  <w:style w:type="paragraph" w:styleId="11">
    <w:name w:val="toc 1"/>
    <w:basedOn w:val="1"/>
    <w:next w:val="1"/>
    <w:unhideWhenUsed/>
    <w:qFormat/>
    <w:uiPriority w:val="39"/>
  </w:style>
  <w:style w:type="paragraph" w:styleId="12">
    <w:name w:val="toc 2"/>
    <w:basedOn w:val="1"/>
    <w:next w:val="1"/>
    <w:semiHidden/>
    <w:unhideWhenUsed/>
    <w:qFormat/>
    <w:uiPriority w:val="39"/>
    <w:pPr>
      <w:ind w:left="420" w:leftChars="200"/>
    </w:pPr>
  </w:style>
  <w:style w:type="paragraph" w:styleId="13">
    <w:name w:val="Normal (Web)"/>
    <w:basedOn w:val="1"/>
    <w:qFormat/>
    <w:uiPriority w:val="0"/>
    <w:pPr>
      <w:spacing w:before="0" w:beforeAutospacing="1" w:after="0" w:afterAutospacing="1"/>
      <w:ind w:left="0" w:right="0"/>
      <w:jc w:val="left"/>
    </w:pPr>
    <w:rPr>
      <w:kern w:val="0"/>
      <w:sz w:val="24"/>
      <w:lang w:val="en-US" w:eastAsia="zh-CN" w:bidi="ar"/>
    </w:rPr>
  </w:style>
  <w:style w:type="character" w:styleId="16">
    <w:name w:val="Hyperlink"/>
    <w:basedOn w:val="15"/>
    <w:qFormat/>
    <w:uiPriority w:val="0"/>
    <w:rPr>
      <w:color w:val="0000FF"/>
      <w:u w:val="single"/>
    </w:rPr>
  </w:style>
  <w:style w:type="character" w:customStyle="1" w:styleId="17">
    <w:name w:val="标题 2 Char"/>
    <w:link w:val="3"/>
    <w:qFormat/>
    <w:uiPriority w:val="0"/>
    <w:rPr>
      <w:rFonts w:hint="eastAsia" w:ascii="宋体" w:hAnsi="宋体" w:eastAsia="宋体" w:cs="宋体"/>
      <w:b/>
      <w:bCs/>
      <w:kern w:val="0"/>
      <w:sz w:val="36"/>
      <w:szCs w:val="36"/>
      <w:lang w:val="en-US" w:eastAsia="zh-CN" w:bidi="ar"/>
    </w:rPr>
  </w:style>
  <w:style w:type="paragraph" w:customStyle="1" w:styleId="18">
    <w:name w:val="TOC 标题1"/>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color w:val="2E75B6" w:themeColor="accent1" w:themeShade="BF"/>
      <w:kern w:val="0"/>
      <w:sz w:val="32"/>
      <w:szCs w:val="32"/>
    </w:rPr>
  </w:style>
  <w:style w:type="paragraph" w:styleId="19">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7" Type="http://schemas.openxmlformats.org/officeDocument/2006/relationships/fontTable" Target="fontTable.xml"/><Relationship Id="rId36" Type="http://schemas.openxmlformats.org/officeDocument/2006/relationships/numbering" Target="numbering.xml"/><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20</Pages>
  <Words>4291</Words>
  <Characters>4591</Characters>
  <Lines>0</Lines>
  <Paragraphs>0</Paragraphs>
  <TotalTime>54</TotalTime>
  <ScaleCrop>false</ScaleCrop>
  <LinksUpToDate>false</LinksUpToDate>
  <CharactersWithSpaces>4623</CharactersWithSpaces>
  <Application>WPS Office_12.1.0.18240_F1E327BC-269C-435d-A152-05C5408002CA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2023-04-13T07:48:00Z</dcterms:created>
  <dc:creator>上善若水</dc:creator>
  <cp:lastModifiedBy>上善若水</cp:lastModifiedBy>
  <dcterms:modified xsi:type="dcterms:W3CDTF">2024-09-12T02:13:33Z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2052-12.1.0.18240</vt:lpwstr>
  </property>
  <property fmtid="{D5CDD505-2E9C-101B-9397-08002B2CF9AE}" pid="3" name="ICV">
    <vt:lpwstr>5A7DBC934C894FDBA3F9D7162312D845_13</vt:lpwstr>
  </property>
</Properties>
</file>